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5510A6" w:rsidRPr="005510A6" w:rsidTr="004D6E55">
        <w:tc>
          <w:tcPr>
            <w:tcW w:w="4906" w:type="dxa"/>
            <w:gridSpan w:val="3"/>
          </w:tcPr>
          <w:p w:rsidR="005510A6" w:rsidRPr="005510A6" w:rsidRDefault="005510A6" w:rsidP="005510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5510A6" w:rsidRPr="005510A6" w:rsidRDefault="005510A6" w:rsidP="005510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0A6">
              <w:rPr>
                <w:rFonts w:ascii="Times New Roman" w:hAnsi="Times New Roman"/>
                <w:sz w:val="28"/>
                <w:szCs w:val="28"/>
              </w:rPr>
              <w:t xml:space="preserve">       АДМИНИСТРАЦИЯ</w:t>
            </w:r>
          </w:p>
          <w:p w:rsidR="005510A6" w:rsidRPr="005510A6" w:rsidRDefault="005510A6" w:rsidP="005510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0A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5510A6" w:rsidRPr="005510A6" w:rsidRDefault="005510A6" w:rsidP="005510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0A6">
              <w:rPr>
                <w:rFonts w:ascii="Times New Roman" w:hAnsi="Times New Roman"/>
                <w:sz w:val="28"/>
                <w:szCs w:val="28"/>
              </w:rPr>
              <w:t xml:space="preserve">   Николаевский сельсовет</w:t>
            </w:r>
          </w:p>
          <w:p w:rsidR="005510A6" w:rsidRPr="005510A6" w:rsidRDefault="005510A6" w:rsidP="005510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0A6">
              <w:rPr>
                <w:rFonts w:ascii="Times New Roman" w:hAnsi="Times New Roman"/>
                <w:sz w:val="28"/>
                <w:szCs w:val="28"/>
              </w:rPr>
              <w:t xml:space="preserve">   Саракташского района</w:t>
            </w:r>
          </w:p>
          <w:p w:rsidR="005510A6" w:rsidRPr="005510A6" w:rsidRDefault="005510A6" w:rsidP="005510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0A6">
              <w:rPr>
                <w:rFonts w:ascii="Times New Roman" w:hAnsi="Times New Roman"/>
                <w:sz w:val="28"/>
                <w:szCs w:val="28"/>
              </w:rPr>
              <w:t xml:space="preserve">   Оренбургской области</w:t>
            </w:r>
          </w:p>
          <w:p w:rsidR="005510A6" w:rsidRPr="005510A6" w:rsidRDefault="005510A6" w:rsidP="005510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0A6">
              <w:rPr>
                <w:rFonts w:ascii="Times New Roman" w:hAnsi="Times New Roman"/>
                <w:sz w:val="28"/>
                <w:szCs w:val="28"/>
              </w:rPr>
              <w:t xml:space="preserve">     ПОСТАНОВЛЕНИЕ</w:t>
            </w:r>
          </w:p>
        </w:tc>
      </w:tr>
      <w:tr w:rsidR="005510A6" w:rsidRPr="005510A6" w:rsidTr="004D6E55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10A6" w:rsidRPr="005510A6" w:rsidRDefault="005510A6" w:rsidP="005510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5510A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510A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510A6">
              <w:rPr>
                <w:rFonts w:ascii="Times New Roman" w:hAnsi="Times New Roman"/>
                <w:sz w:val="28"/>
                <w:szCs w:val="28"/>
              </w:rPr>
              <w:t>.2016г</w:t>
            </w:r>
          </w:p>
        </w:tc>
        <w:tc>
          <w:tcPr>
            <w:tcW w:w="720" w:type="dxa"/>
          </w:tcPr>
          <w:p w:rsidR="005510A6" w:rsidRPr="005510A6" w:rsidRDefault="005510A6" w:rsidP="005510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10A6" w:rsidRPr="005510A6" w:rsidRDefault="005510A6" w:rsidP="00DE28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510A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E28E1">
              <w:rPr>
                <w:rFonts w:ascii="Times New Roman" w:hAnsi="Times New Roman"/>
                <w:sz w:val="28"/>
                <w:szCs w:val="28"/>
              </w:rPr>
              <w:t>5</w:t>
            </w:r>
            <w:r w:rsidRPr="005510A6">
              <w:rPr>
                <w:rFonts w:ascii="Times New Roman" w:hAnsi="Times New Roman"/>
                <w:sz w:val="28"/>
                <w:szCs w:val="28"/>
              </w:rPr>
              <w:t xml:space="preserve"> -п  </w:t>
            </w:r>
          </w:p>
        </w:tc>
      </w:tr>
      <w:tr w:rsidR="005510A6" w:rsidRPr="005510A6" w:rsidTr="004D6E55">
        <w:tc>
          <w:tcPr>
            <w:tcW w:w="4906" w:type="dxa"/>
            <w:gridSpan w:val="3"/>
          </w:tcPr>
          <w:p w:rsidR="005510A6" w:rsidRPr="005510A6" w:rsidRDefault="005510A6" w:rsidP="005510A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510A6">
              <w:rPr>
                <w:rFonts w:ascii="Times New Roman" w:hAnsi="Times New Roman"/>
                <w:b/>
                <w:sz w:val="28"/>
                <w:szCs w:val="28"/>
              </w:rPr>
              <w:t>с. Николаевка</w:t>
            </w:r>
          </w:p>
        </w:tc>
      </w:tr>
    </w:tbl>
    <w:p w:rsidR="005510A6" w:rsidRDefault="005510A6" w:rsidP="005510A6">
      <w:pPr>
        <w:rPr>
          <w:rFonts w:ascii="Times New Roman" w:hAnsi="Times New Roman"/>
          <w:sz w:val="16"/>
          <w:szCs w:val="16"/>
        </w:rPr>
      </w:pPr>
    </w:p>
    <w:p w:rsidR="005510A6" w:rsidRDefault="005510A6" w:rsidP="005510A6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5510A6" w:rsidRPr="00CD7E1F" w:rsidTr="004D6E55">
        <w:trPr>
          <w:trHeight w:val="1649"/>
          <w:jc w:val="center"/>
        </w:trPr>
        <w:tc>
          <w:tcPr>
            <w:tcW w:w="7920" w:type="dxa"/>
            <w:shd w:val="clear" w:color="auto" w:fill="auto"/>
          </w:tcPr>
          <w:p w:rsidR="00622DD9" w:rsidRPr="00080D48" w:rsidRDefault="005510A6" w:rsidP="00622D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D7E1F">
              <w:rPr>
                <w:rFonts w:ascii="Times New Roman" w:hAnsi="Times New Roman"/>
                <w:sz w:val="28"/>
                <w:szCs w:val="28"/>
              </w:rPr>
              <w:t>О внесении изменений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E1F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D7E1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Николаевского сельсовета</w:t>
            </w:r>
            <w:r w:rsidRPr="00CD7E1F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CD7E1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CD7E1F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D7E1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101</w:t>
            </w:r>
            <w:r w:rsidRPr="00CD7E1F">
              <w:rPr>
                <w:rFonts w:ascii="Times New Roman" w:hAnsi="Times New Roman"/>
                <w:sz w:val="28"/>
                <w:szCs w:val="28"/>
              </w:rPr>
              <w:t xml:space="preserve">-п </w:t>
            </w:r>
            <w:r w:rsidR="00622DD9">
              <w:rPr>
                <w:rFonts w:ascii="Times New Roman" w:hAnsi="Times New Roman"/>
                <w:sz w:val="28"/>
                <w:szCs w:val="28"/>
              </w:rPr>
              <w:t>«</w:t>
            </w:r>
            <w:r w:rsidR="00622DD9" w:rsidRPr="00080D48">
              <w:rPr>
                <w:rFonts w:ascii="Times New Roman" w:hAnsi="Times New Roman"/>
                <w:sz w:val="28"/>
                <w:szCs w:val="28"/>
              </w:rPr>
              <w:t xml:space="preserve">Об  утверждении   Порядка   размещения    сведений </w:t>
            </w:r>
          </w:p>
          <w:p w:rsidR="00622DD9" w:rsidRPr="00080D48" w:rsidRDefault="00622DD9" w:rsidP="00622D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80D4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 обязательствах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80D48">
              <w:rPr>
                <w:rFonts w:ascii="Times New Roman" w:hAnsi="Times New Roman"/>
                <w:sz w:val="28"/>
                <w:szCs w:val="28"/>
              </w:rPr>
              <w:t xml:space="preserve">имущественного характера отдельных категорий лиц органов   местного самоуправления  муниципального образования  Николаевский сельсовет и  руководителей </w:t>
            </w:r>
          </w:p>
          <w:p w:rsidR="00622DD9" w:rsidRPr="00080D48" w:rsidRDefault="00622DD9" w:rsidP="00622D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80D48">
              <w:rPr>
                <w:rFonts w:ascii="Times New Roman" w:hAnsi="Times New Roman"/>
                <w:sz w:val="28"/>
                <w:szCs w:val="28"/>
              </w:rPr>
              <w:t>муниципальных  учреждений,   их   супруги (супруга) и несовершеннолетних  детей  на  официальном   сайте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0D48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Николаевского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0D48">
              <w:rPr>
                <w:rFonts w:ascii="Times New Roman" w:hAnsi="Times New Roman"/>
                <w:sz w:val="28"/>
                <w:szCs w:val="28"/>
              </w:rPr>
              <w:t>сельсовета и предоставления этих сведений средствам</w:t>
            </w:r>
          </w:p>
          <w:p w:rsidR="005510A6" w:rsidRPr="00CD7E1F" w:rsidRDefault="00622DD9" w:rsidP="00622D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D48">
              <w:rPr>
                <w:rFonts w:ascii="Times New Roman" w:hAnsi="Times New Roman"/>
                <w:sz w:val="28"/>
                <w:szCs w:val="28"/>
              </w:rPr>
              <w:t>массовой информации для опубликования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510A6" w:rsidRPr="00311D47" w:rsidRDefault="005510A6" w:rsidP="005510A6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В соответствии с Распоряжением Губернатора Оренбургской области от 30.12.2014 № 360-р «</w:t>
      </w:r>
      <w:r w:rsidRPr="00311D47">
        <w:rPr>
          <w:rStyle w:val="s2"/>
          <w:color w:val="000000"/>
          <w:sz w:val="28"/>
          <w:szCs w:val="28"/>
        </w:rPr>
        <w:t>О требованиях к размещению и наполнению разделов,</w:t>
      </w:r>
      <w:r>
        <w:rPr>
          <w:rStyle w:val="s2"/>
          <w:color w:val="000000"/>
          <w:sz w:val="28"/>
          <w:szCs w:val="28"/>
        </w:rPr>
        <w:t xml:space="preserve"> </w:t>
      </w:r>
      <w:r w:rsidRPr="00311D47">
        <w:rPr>
          <w:rStyle w:val="s2"/>
          <w:color w:val="000000"/>
          <w:sz w:val="28"/>
          <w:szCs w:val="28"/>
        </w:rPr>
        <w:t>посвященных вопросам противодействия коррупции, официальных</w:t>
      </w:r>
    </w:p>
    <w:p w:rsidR="005510A6" w:rsidRPr="00311D47" w:rsidRDefault="005510A6" w:rsidP="005510A6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D47">
        <w:rPr>
          <w:rStyle w:val="s2"/>
          <w:color w:val="000000"/>
          <w:sz w:val="28"/>
          <w:szCs w:val="28"/>
        </w:rPr>
        <w:t>сайтов органов исполнительной власти Оренбургской области</w:t>
      </w:r>
      <w:r>
        <w:rPr>
          <w:rStyle w:val="s2"/>
          <w:color w:val="000000"/>
          <w:sz w:val="28"/>
          <w:szCs w:val="28"/>
        </w:rPr>
        <w:t xml:space="preserve"> </w:t>
      </w:r>
      <w:r w:rsidRPr="00311D47">
        <w:rPr>
          <w:rStyle w:val="s2"/>
          <w:color w:val="000000"/>
          <w:sz w:val="28"/>
          <w:szCs w:val="28"/>
        </w:rPr>
        <w:t xml:space="preserve">в сети </w:t>
      </w:r>
      <w:r>
        <w:rPr>
          <w:rStyle w:val="s2"/>
          <w:color w:val="000000"/>
          <w:sz w:val="28"/>
          <w:szCs w:val="28"/>
        </w:rPr>
        <w:t>И</w:t>
      </w:r>
      <w:r w:rsidRPr="00311D47">
        <w:rPr>
          <w:rStyle w:val="s2"/>
          <w:color w:val="000000"/>
          <w:sz w:val="28"/>
          <w:szCs w:val="28"/>
        </w:rPr>
        <w:t>нтернет и требованиях к должностям, замещение</w:t>
      </w:r>
      <w:r>
        <w:rPr>
          <w:rStyle w:val="s2"/>
          <w:color w:val="000000"/>
          <w:sz w:val="28"/>
          <w:szCs w:val="28"/>
        </w:rPr>
        <w:t xml:space="preserve"> </w:t>
      </w:r>
      <w:r w:rsidRPr="00311D47">
        <w:rPr>
          <w:rStyle w:val="s2"/>
          <w:color w:val="000000"/>
          <w:sz w:val="28"/>
          <w:szCs w:val="28"/>
        </w:rPr>
        <w:t>которых влечет за собой размещение сведений о доходах,</w:t>
      </w:r>
      <w:r>
        <w:rPr>
          <w:rStyle w:val="s2"/>
          <w:color w:val="000000"/>
          <w:sz w:val="28"/>
          <w:szCs w:val="28"/>
        </w:rPr>
        <w:t xml:space="preserve"> </w:t>
      </w:r>
      <w:r w:rsidRPr="00311D47">
        <w:rPr>
          <w:rStyle w:val="s2"/>
          <w:color w:val="000000"/>
          <w:sz w:val="28"/>
          <w:szCs w:val="28"/>
        </w:rPr>
        <w:t>расходах, об имуществе и обязательствах</w:t>
      </w:r>
    </w:p>
    <w:p w:rsidR="005510A6" w:rsidRPr="00311D47" w:rsidRDefault="005510A6" w:rsidP="005510A6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D47">
        <w:rPr>
          <w:rStyle w:val="s2"/>
          <w:color w:val="000000"/>
          <w:sz w:val="28"/>
          <w:szCs w:val="28"/>
        </w:rPr>
        <w:t>имущественного характера</w:t>
      </w:r>
    </w:p>
    <w:p w:rsidR="005510A6" w:rsidRDefault="005510A6" w:rsidP="00551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0A6" w:rsidRPr="00080D48" w:rsidRDefault="005510A6" w:rsidP="005510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в постановление администрации Николаевского сельсовета от 03</w:t>
      </w:r>
      <w:r w:rsidRPr="00CD7E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CD7E1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CD7E1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101</w:t>
      </w:r>
      <w:r w:rsidRPr="00CD7E1F">
        <w:rPr>
          <w:rFonts w:ascii="Times New Roman" w:hAnsi="Times New Roman"/>
          <w:sz w:val="28"/>
          <w:szCs w:val="28"/>
        </w:rPr>
        <w:t xml:space="preserve">-п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80D48">
        <w:rPr>
          <w:rFonts w:ascii="Times New Roman" w:hAnsi="Times New Roman"/>
          <w:sz w:val="28"/>
          <w:szCs w:val="28"/>
        </w:rPr>
        <w:t xml:space="preserve">Об  утверждении   Порядка   размещения    сведений </w:t>
      </w:r>
    </w:p>
    <w:p w:rsidR="005510A6" w:rsidRPr="00080D48" w:rsidRDefault="005510A6" w:rsidP="005510A6">
      <w:pPr>
        <w:pStyle w:val="a3"/>
        <w:rPr>
          <w:rFonts w:ascii="Times New Roman" w:hAnsi="Times New Roman"/>
          <w:sz w:val="28"/>
          <w:szCs w:val="28"/>
        </w:rPr>
      </w:pPr>
      <w:r w:rsidRPr="00080D48">
        <w:rPr>
          <w:rFonts w:ascii="Times New Roman" w:hAnsi="Times New Roman"/>
          <w:sz w:val="28"/>
          <w:szCs w:val="28"/>
        </w:rPr>
        <w:t>о доходах, расходах, об имуществе и  обязательствах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80D48">
        <w:rPr>
          <w:rFonts w:ascii="Times New Roman" w:hAnsi="Times New Roman"/>
          <w:sz w:val="28"/>
          <w:szCs w:val="28"/>
        </w:rPr>
        <w:t xml:space="preserve">имущественного характера отдельных категорий лиц органов   местного самоуправления  муниципального образования  Николаевский сельсовет и  руководителей </w:t>
      </w:r>
    </w:p>
    <w:p w:rsidR="005510A6" w:rsidRPr="00080D48" w:rsidRDefault="005510A6" w:rsidP="005510A6">
      <w:pPr>
        <w:pStyle w:val="a3"/>
        <w:rPr>
          <w:rFonts w:ascii="Times New Roman" w:hAnsi="Times New Roman"/>
          <w:sz w:val="28"/>
          <w:szCs w:val="28"/>
        </w:rPr>
      </w:pPr>
      <w:r w:rsidRPr="00080D48">
        <w:rPr>
          <w:rFonts w:ascii="Times New Roman" w:hAnsi="Times New Roman"/>
          <w:sz w:val="28"/>
          <w:szCs w:val="28"/>
        </w:rPr>
        <w:t>муниципальных  учреждений,   их   супруги (супруга) и несовершеннолетних  детей  на  официальном  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D48">
        <w:rPr>
          <w:rFonts w:ascii="Times New Roman" w:hAnsi="Times New Roman"/>
          <w:sz w:val="28"/>
          <w:szCs w:val="28"/>
        </w:rPr>
        <w:t>администрации муниципального образования Николаевского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D48">
        <w:rPr>
          <w:rFonts w:ascii="Times New Roman" w:hAnsi="Times New Roman"/>
          <w:sz w:val="28"/>
          <w:szCs w:val="28"/>
        </w:rPr>
        <w:t>сельсовета и предоставления этих сведений средствам</w:t>
      </w:r>
    </w:p>
    <w:p w:rsidR="005510A6" w:rsidRDefault="005510A6" w:rsidP="005510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0D48">
        <w:rPr>
          <w:rFonts w:ascii="Times New Roman" w:hAnsi="Times New Roman"/>
          <w:sz w:val="28"/>
          <w:szCs w:val="28"/>
        </w:rPr>
        <w:t>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>»   следующие изменения:</w:t>
      </w:r>
    </w:p>
    <w:p w:rsidR="005510A6" w:rsidRDefault="005510A6" w:rsidP="005510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2  изложить  в редакции согласно приложению.</w:t>
      </w:r>
    </w:p>
    <w:p w:rsidR="005510A6" w:rsidRPr="004A66EB" w:rsidRDefault="004A66EB" w:rsidP="005510A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4A66EB">
        <w:rPr>
          <w:rFonts w:ascii="Times New Roman" w:hAnsi="Times New Roman"/>
          <w:sz w:val="19"/>
          <w:szCs w:val="19"/>
        </w:rPr>
        <w:t xml:space="preserve">   </w:t>
      </w:r>
      <w:r w:rsidRPr="004A66EB">
        <w:rPr>
          <w:rFonts w:ascii="Times New Roman" w:hAnsi="Times New Roman"/>
          <w:sz w:val="28"/>
          <w:szCs w:val="28"/>
        </w:rPr>
        <w:t>2. Настоящее постановление вступает в силу после обнародования на территории сельсовета и размещения на официальном сайте администрации Николаевского сельсовета</w:t>
      </w:r>
    </w:p>
    <w:p w:rsidR="004A66EB" w:rsidRPr="004A66EB" w:rsidRDefault="004A66EB" w:rsidP="004A66EB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</w:t>
      </w:r>
      <w:r w:rsidRPr="004A66EB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 заместителя главы  администрации Захарову Анастасию Алексеевну</w:t>
      </w:r>
    </w:p>
    <w:p w:rsidR="004A66EB" w:rsidRPr="004A66EB" w:rsidRDefault="004A66EB" w:rsidP="004A66EB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  <w:r w:rsidRPr="004A66EB">
        <w:rPr>
          <w:rFonts w:ascii="Times New Roman" w:hAnsi="Times New Roman"/>
          <w:sz w:val="28"/>
          <w:szCs w:val="28"/>
        </w:rPr>
        <w:t xml:space="preserve">Глава Николаевского сельсовета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4A66EB">
        <w:rPr>
          <w:rFonts w:ascii="Times New Roman" w:hAnsi="Times New Roman"/>
          <w:sz w:val="28"/>
          <w:szCs w:val="28"/>
        </w:rPr>
        <w:t>С.Н.Дудко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8022"/>
      </w:tblGrid>
      <w:tr w:rsidR="004A66EB" w:rsidRPr="004A66EB" w:rsidTr="004A66EB">
        <w:tc>
          <w:tcPr>
            <w:tcW w:w="1548" w:type="dxa"/>
          </w:tcPr>
          <w:p w:rsidR="004A66EB" w:rsidRPr="004A66EB" w:rsidRDefault="004A66EB" w:rsidP="004D6E55">
            <w:pPr>
              <w:tabs>
                <w:tab w:val="left" w:pos="1020"/>
              </w:tabs>
              <w:rPr>
                <w:rFonts w:ascii="Times New Roman" w:hAnsi="Times New Roman"/>
                <w:sz w:val="28"/>
                <w:szCs w:val="28"/>
              </w:rPr>
            </w:pPr>
            <w:r w:rsidRPr="004A66EB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4A66EB" w:rsidRDefault="004A66EB" w:rsidP="004A66EB">
            <w:pPr>
              <w:tabs>
                <w:tab w:val="left" w:pos="1020"/>
              </w:tabs>
              <w:rPr>
                <w:rFonts w:ascii="Times New Roman" w:hAnsi="Times New Roman"/>
                <w:sz w:val="28"/>
                <w:szCs w:val="28"/>
              </w:rPr>
            </w:pPr>
            <w:r w:rsidRPr="004A66EB">
              <w:rPr>
                <w:rFonts w:ascii="Times New Roman" w:hAnsi="Times New Roman"/>
                <w:sz w:val="28"/>
                <w:szCs w:val="28"/>
              </w:rPr>
              <w:t xml:space="preserve">прокурору района,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дело</w:t>
            </w:r>
          </w:p>
          <w:p w:rsidR="004A66EB" w:rsidRPr="004A66EB" w:rsidRDefault="004A66EB" w:rsidP="004A66EB">
            <w:pPr>
              <w:tabs>
                <w:tab w:val="left" w:pos="10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66EB" w:rsidRDefault="004A66EB" w:rsidP="004A66EB">
      <w:pPr>
        <w:tabs>
          <w:tab w:val="left" w:pos="1020"/>
        </w:tabs>
        <w:spacing w:after="0" w:line="240" w:lineRule="auto"/>
        <w:ind w:firstLine="720"/>
        <w:jc w:val="both"/>
        <w:sectPr w:rsidR="004A66EB" w:rsidSect="003F7F5B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4A66EB" w:rsidRPr="00501059" w:rsidRDefault="004A66EB" w:rsidP="004A66EB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501059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>Приложение</w:t>
      </w:r>
    </w:p>
    <w:p w:rsidR="004A66EB" w:rsidRPr="00501059" w:rsidRDefault="004A66EB" w:rsidP="004A66EB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50105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к постановлению администрации </w:t>
      </w:r>
    </w:p>
    <w:p w:rsidR="004A66EB" w:rsidRPr="00501059" w:rsidRDefault="004A66EB" w:rsidP="004A66EB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501059">
        <w:rPr>
          <w:rFonts w:ascii="Times New Roman" w:hAnsi="Times New Roman" w:cs="Times New Roman"/>
          <w:b w:val="0"/>
          <w:i w:val="0"/>
          <w:sz w:val="20"/>
          <w:szCs w:val="20"/>
        </w:rPr>
        <w:t>Николаевского сельсовета от 18.05.2016 г № 55-п</w:t>
      </w:r>
    </w:p>
    <w:p w:rsidR="004A66EB" w:rsidRPr="00501059" w:rsidRDefault="004A66EB" w:rsidP="004A66EB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501059">
        <w:rPr>
          <w:rFonts w:ascii="Times New Roman" w:hAnsi="Times New Roman" w:cs="Times New Roman"/>
          <w:sz w:val="24"/>
          <w:szCs w:val="24"/>
        </w:rPr>
        <w:t>Сведения о доходах, о расходах, об имуществе и обязательствах имущественного характера</w:t>
      </w:r>
      <w:r w:rsidRPr="00501059">
        <w:rPr>
          <w:rFonts w:ascii="Times New Roman" w:hAnsi="Times New Roman" w:cs="Times New Roman"/>
          <w:sz w:val="24"/>
          <w:szCs w:val="24"/>
        </w:rPr>
        <w:br/>
        <w:t>за период с 1 января 20__ года по 31 декабря 20__ года</w:t>
      </w: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4A66EB" w:rsidRPr="004A66EB" w:rsidTr="004D6E55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 w:rsidRPr="004A66E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4A66EB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A66EB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4A66EB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A66EB" w:rsidRPr="004A66EB" w:rsidTr="00C47B6E">
        <w:trPr>
          <w:trHeight w:val="1342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  <w:r w:rsidRPr="004A66EB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66EB" w:rsidRPr="004A66EB" w:rsidTr="004D6E55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  <w:r w:rsidRPr="004A66E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6EB" w:rsidRPr="004A66EB" w:rsidTr="004D6E55">
        <w:trPr>
          <w:trHeight w:val="87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6EB" w:rsidRPr="004A66EB" w:rsidTr="00C47B6E">
        <w:trPr>
          <w:trHeight w:val="20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6EB" w:rsidRPr="004A66EB" w:rsidTr="004D6E55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  <w:r w:rsidRPr="004A66EB"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  <w:r w:rsidRPr="004A66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6EB" w:rsidRPr="004A66EB" w:rsidTr="004D6E55">
        <w:trPr>
          <w:trHeight w:val="87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6EB" w:rsidRPr="004A66EB" w:rsidTr="004D6E55">
        <w:trPr>
          <w:trHeight w:val="373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6EB" w:rsidRPr="004A66EB" w:rsidTr="00C47B6E">
        <w:trPr>
          <w:trHeight w:val="20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A66EB" w:rsidRPr="004A66EB" w:rsidRDefault="004A66EB" w:rsidP="004D6E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A66EB" w:rsidRPr="004A66EB" w:rsidRDefault="004A66EB" w:rsidP="004A66EB">
      <w:pPr>
        <w:rPr>
          <w:rFonts w:ascii="Times New Roman" w:hAnsi="Times New Roman"/>
          <w:lang w:eastAsia="ru-RU"/>
        </w:rPr>
      </w:pPr>
      <w:r w:rsidRPr="004A66EB">
        <w:rPr>
          <w:rFonts w:ascii="Times New Roman" w:hAnsi="Times New Roman"/>
          <w:sz w:val="20"/>
          <w:szCs w:val="20"/>
        </w:rPr>
        <w:br/>
      </w:r>
      <w:r w:rsidRPr="004A66EB">
        <w:rPr>
          <w:rFonts w:ascii="Times New Roman" w:hAnsi="Times New Roman"/>
          <w:vertAlign w:val="superscript"/>
        </w:rPr>
        <w:t>1</w:t>
      </w:r>
      <w:r w:rsidRPr="004A66EB"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r>
        <w:rPr>
          <w:rFonts w:ascii="Times New Roman" w:hAnsi="Times New Roman"/>
        </w:rPr>
        <w:t xml:space="preserve"> Николаевский сельсовет Саракташского</w:t>
      </w:r>
      <w:r w:rsidRPr="004A66EB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4A66EB">
        <w:rPr>
          <w:rFonts w:ascii="Times New Roman" w:hAnsi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4A66EB">
        <w:rPr>
          <w:rFonts w:ascii="Times New Roman" w:hAnsi="Times New Roman"/>
        </w:rPr>
        <w:br/>
      </w:r>
      <w:r w:rsidRPr="004A66EB">
        <w:rPr>
          <w:rFonts w:ascii="Times New Roman" w:hAnsi="Times New Roman"/>
          <w:vertAlign w:val="superscript"/>
        </w:rPr>
        <w:t>2</w:t>
      </w:r>
      <w:r w:rsidRPr="004A66EB"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 муниципального образования </w:t>
      </w:r>
      <w:r>
        <w:rPr>
          <w:rFonts w:ascii="Times New Roman" w:hAnsi="Times New Roman"/>
        </w:rPr>
        <w:t xml:space="preserve">Николаевский сельсовет Саракташского </w:t>
      </w:r>
      <w:r w:rsidRPr="004A66EB">
        <w:rPr>
          <w:rFonts w:ascii="Times New Roman" w:hAnsi="Times New Roman"/>
        </w:rPr>
        <w:t>район</w:t>
      </w:r>
      <w:r>
        <w:rPr>
          <w:rFonts w:ascii="Times New Roman" w:hAnsi="Times New Roman"/>
        </w:rPr>
        <w:t>а</w:t>
      </w:r>
      <w:r w:rsidRPr="004A66EB">
        <w:rPr>
          <w:rFonts w:ascii="Times New Roman" w:hAnsi="Times New Roman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sectPr w:rsidR="004A66EB" w:rsidRPr="004A66EB" w:rsidSect="0050105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A6"/>
    <w:rsid w:val="00071500"/>
    <w:rsid w:val="00196F15"/>
    <w:rsid w:val="0032027E"/>
    <w:rsid w:val="00404D98"/>
    <w:rsid w:val="004A66EB"/>
    <w:rsid w:val="00501059"/>
    <w:rsid w:val="005510A6"/>
    <w:rsid w:val="00622DD9"/>
    <w:rsid w:val="00670996"/>
    <w:rsid w:val="00780F0F"/>
    <w:rsid w:val="007A733E"/>
    <w:rsid w:val="008018F9"/>
    <w:rsid w:val="009F32D2"/>
    <w:rsid w:val="00A90033"/>
    <w:rsid w:val="00C37AB9"/>
    <w:rsid w:val="00C47B6E"/>
    <w:rsid w:val="00C56A9B"/>
    <w:rsid w:val="00D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EA07F-2104-4B5B-A956-18311CB1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0A6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5510A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510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5510A6"/>
  </w:style>
  <w:style w:type="character" w:customStyle="1" w:styleId="20">
    <w:name w:val="Заголовок 2 Знак"/>
    <w:basedOn w:val="a0"/>
    <w:link w:val="2"/>
    <w:rsid w:val="005510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5510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2016-06-03T19:52:00Z</dcterms:created>
  <dcterms:modified xsi:type="dcterms:W3CDTF">2016-06-03T19:52:00Z</dcterms:modified>
</cp:coreProperties>
</file>