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C8" w:rsidRPr="002F6BD8" w:rsidRDefault="00092644" w:rsidP="00A42E12">
      <w:pPr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</w:t>
      </w:r>
      <w:r w:rsidR="000F16E6">
        <w:rPr>
          <w:noProof/>
          <w:sz w:val="28"/>
          <w:szCs w:val="28"/>
          <w:lang w:eastAsia="ru-RU"/>
        </w:rPr>
        <w:drawing>
          <wp:inline distT="0" distB="0" distL="0" distR="0">
            <wp:extent cx="266700" cy="600075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BC8" w:rsidRPr="002F6BD8" w:rsidRDefault="00A13BC8" w:rsidP="00A13BC8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A13BC8" w:rsidRPr="002F6BD8" w:rsidRDefault="00A13BC8" w:rsidP="00A13BC8">
      <w:pPr>
        <w:rPr>
          <w:rFonts w:ascii="Times New Roman" w:hAnsi="Times New Roman"/>
        </w:rPr>
      </w:pPr>
    </w:p>
    <w:p w:rsidR="00A13BC8" w:rsidRPr="002F6BD8" w:rsidRDefault="00A13BC8" w:rsidP="00A13BC8">
      <w:pPr>
        <w:jc w:val="center"/>
        <w:rPr>
          <w:rFonts w:ascii="Times New Roman" w:hAnsi="Times New Roman"/>
          <w:b/>
          <w:sz w:val="34"/>
          <w:szCs w:val="34"/>
        </w:rPr>
      </w:pPr>
      <w:r w:rsidRPr="002F6BD8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A13BC8" w:rsidRPr="00CF52B5" w:rsidRDefault="00A13BC8" w:rsidP="00A13BC8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 w:rsidRPr="002F6BD8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A13BC8" w:rsidRDefault="00A13BC8" w:rsidP="00A13BC8">
      <w:pPr>
        <w:spacing w:after="0" w:line="240" w:lineRule="auto"/>
        <w:ind w:right="283"/>
        <w:rPr>
          <w:rFonts w:ascii="Times New Roman" w:hAnsi="Times New Roman"/>
          <w:szCs w:val="24"/>
        </w:rPr>
      </w:pPr>
    </w:p>
    <w:p w:rsidR="00092644" w:rsidRPr="00A13BC8" w:rsidRDefault="004A5A32" w:rsidP="00A13BC8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  <w:shd w:val="clear" w:color="auto" w:fill="FFCC99"/>
        </w:rPr>
      </w:pPr>
      <w:r>
        <w:rPr>
          <w:rFonts w:ascii="Times New Roman" w:hAnsi="Times New Roman"/>
          <w:sz w:val="28"/>
          <w:szCs w:val="28"/>
        </w:rPr>
        <w:t>24</w:t>
      </w:r>
      <w:r w:rsidR="00A13BC8" w:rsidRPr="004A5A32">
        <w:rPr>
          <w:rFonts w:ascii="Times New Roman" w:hAnsi="Times New Roman"/>
          <w:sz w:val="28"/>
          <w:szCs w:val="28"/>
        </w:rPr>
        <w:t>.05.2023 г.</w:t>
      </w:r>
      <w:r w:rsidR="00A13BC8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A13BC8">
        <w:rPr>
          <w:rFonts w:ascii="Times New Roman" w:hAnsi="Times New Roman"/>
          <w:sz w:val="28"/>
          <w:szCs w:val="28"/>
        </w:rPr>
        <w:t xml:space="preserve">с. </w:t>
      </w:r>
      <w:r w:rsidR="00A13BC8" w:rsidRPr="004A5A32">
        <w:rPr>
          <w:rFonts w:ascii="Times New Roman" w:hAnsi="Times New Roman"/>
          <w:sz w:val="28"/>
          <w:szCs w:val="28"/>
        </w:rPr>
        <w:t>Николаевка                                    №</w:t>
      </w:r>
      <w:r w:rsidR="00A13BC8" w:rsidRPr="004A5A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 w:rsidR="00A13BC8" w:rsidRPr="004A5A32">
        <w:rPr>
          <w:rFonts w:ascii="Times New Roman" w:hAnsi="Times New Roman"/>
          <w:sz w:val="28"/>
          <w:szCs w:val="28"/>
        </w:rPr>
        <w:t>-п</w:t>
      </w:r>
      <w:r w:rsidR="00A13BC8">
        <w:rPr>
          <w:rFonts w:ascii="Times New Roman" w:hAnsi="Times New Roman"/>
          <w:sz w:val="28"/>
          <w:szCs w:val="28"/>
        </w:rPr>
        <w:t xml:space="preserve">                      </w:t>
      </w:r>
    </w:p>
    <w:p w:rsidR="00092644" w:rsidRPr="00A13BC8" w:rsidRDefault="00092644">
      <w:pPr>
        <w:spacing w:after="0" w:line="240" w:lineRule="auto"/>
        <w:ind w:right="-74"/>
        <w:rPr>
          <w:rFonts w:ascii="Times New Roman" w:hAnsi="Times New Roman"/>
          <w:sz w:val="28"/>
          <w:szCs w:val="28"/>
          <w:lang w:eastAsia="ar-SA"/>
        </w:rPr>
      </w:pPr>
    </w:p>
    <w:p w:rsidR="00092644" w:rsidRDefault="00092644">
      <w:pPr>
        <w:pStyle w:val="af9"/>
      </w:pPr>
      <w:r>
        <w:t xml:space="preserve">    </w:t>
      </w:r>
    </w:p>
    <w:tbl>
      <w:tblPr>
        <w:tblW w:w="0" w:type="auto"/>
        <w:tblInd w:w="108" w:type="dxa"/>
        <w:tblLayout w:type="fixed"/>
        <w:tblLook w:val="0000"/>
      </w:tblPr>
      <w:tblGrid>
        <w:gridCol w:w="9211"/>
      </w:tblGrid>
      <w:tr w:rsidR="00092644">
        <w:trPr>
          <w:trHeight w:val="1000"/>
        </w:trPr>
        <w:tc>
          <w:tcPr>
            <w:tcW w:w="9211" w:type="dxa"/>
            <w:shd w:val="clear" w:color="auto" w:fill="auto"/>
          </w:tcPr>
          <w:p w:rsidR="00092644" w:rsidRDefault="00092644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«Об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      </w:r>
            <w:r w:rsidR="00A13BC8">
              <w:rPr>
                <w:rFonts w:ascii="Times New Roman" w:hAnsi="Times New Roman"/>
                <w:sz w:val="28"/>
                <w:szCs w:val="28"/>
              </w:rPr>
              <w:t xml:space="preserve">Николаевский </w:t>
            </w:r>
            <w:r>
              <w:rPr>
                <w:rFonts w:ascii="Times New Roman" w:hAnsi="Times New Roman"/>
                <w:sz w:val="28"/>
                <w:szCs w:val="28"/>
              </w:rPr>
              <w:t>сельсовет Саракташского района Оренбургской области»</w:t>
            </w:r>
          </w:p>
        </w:tc>
      </w:tr>
    </w:tbl>
    <w:p w:rsidR="00092644" w:rsidRDefault="00092644">
      <w:pPr>
        <w:spacing w:after="0" w:line="240" w:lineRule="auto"/>
        <w:jc w:val="both"/>
      </w:pPr>
      <w:r>
        <w:rPr>
          <w:rFonts w:ascii="Verdana" w:hAnsi="Verdana" w:cs="Verdana"/>
          <w:sz w:val="21"/>
          <w:szCs w:val="21"/>
          <w:lang w:eastAsia="ru-RU"/>
        </w:rPr>
        <w:t> </w:t>
      </w:r>
      <w:r>
        <w:rPr>
          <w:rFonts w:ascii="Verdana" w:eastAsia="Verdana" w:hAnsi="Verdana" w:cs="Verdana"/>
          <w:sz w:val="21"/>
          <w:szCs w:val="21"/>
          <w:lang w:eastAsia="ru-RU"/>
        </w:rPr>
        <w:t xml:space="preserve">        </w:t>
      </w:r>
    </w:p>
    <w:p w:rsidR="00092644" w:rsidRDefault="00092644">
      <w:pPr>
        <w:ind w:firstLine="709"/>
        <w:jc w:val="both"/>
      </w:pPr>
      <w:r>
        <w:rPr>
          <w:rFonts w:cs="Calibri"/>
          <w:sz w:val="28"/>
          <w:szCs w:val="28"/>
        </w:rPr>
        <w:t xml:space="preserve"> </w:t>
      </w:r>
    </w:p>
    <w:p w:rsidR="00092644" w:rsidRDefault="00092644">
      <w:pPr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14.01.1993 № 4292-1 «Об увековечении памяти погибших при защите Отечества», Уставом муниципального образования </w:t>
      </w:r>
      <w:r w:rsidR="00A13BC8"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Николаевский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Саракташского района Оренбургской области и в целях сохранения и благоустройства воинских захоронений, мемориальных сооружений и объектов, увековечивающих память погибших при защите Отечества, захороненных на  территории сельского поселения </w:t>
      </w:r>
      <w:r w:rsidR="00A13BC8"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Николаевский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 Саракташского района Оренбургской области:</w:t>
      </w:r>
    </w:p>
    <w:p w:rsidR="00092644" w:rsidRDefault="00092644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об организации и осуществлении мероприятий по увековечению памяти погибших при защите Отечества, </w:t>
      </w:r>
      <w:r>
        <w:rPr>
          <w:rFonts w:ascii="Times New Roman" w:hAnsi="Times New Roman"/>
          <w:sz w:val="28"/>
          <w:szCs w:val="28"/>
        </w:rPr>
        <w:t xml:space="preserve">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области, согласно приложению.</w:t>
      </w:r>
    </w:p>
    <w:p w:rsidR="00092644" w:rsidRDefault="00092644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 в Информационном бюллетене «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 xml:space="preserve">сельсовет» и подлежит размещению на сайте администрации </w:t>
      </w:r>
      <w:r w:rsidR="00A13BC8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092644" w:rsidRDefault="00092644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 Контроль за исполнением данного постановления оставляю за собой.</w:t>
      </w:r>
    </w:p>
    <w:p w:rsidR="00092644" w:rsidRDefault="00092644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BC8" w:rsidRPr="00A13BC8" w:rsidRDefault="00A13BC8" w:rsidP="00A13BC8">
      <w:pPr>
        <w:pStyle w:val="aff6"/>
        <w:rPr>
          <w:rFonts w:ascii="Times New Roman" w:hAnsi="Times New Roman"/>
          <w:sz w:val="28"/>
          <w:szCs w:val="28"/>
        </w:rPr>
      </w:pPr>
      <w:r w:rsidRPr="00A13BC8">
        <w:rPr>
          <w:rFonts w:ascii="Times New Roman" w:hAnsi="Times New Roman"/>
          <w:sz w:val="28"/>
          <w:szCs w:val="28"/>
        </w:rPr>
        <w:t xml:space="preserve">Глава муниципального </w:t>
      </w:r>
    </w:p>
    <w:p w:rsidR="00092644" w:rsidRPr="00A13BC8" w:rsidRDefault="00A13BC8" w:rsidP="00A13BC8">
      <w:pPr>
        <w:pStyle w:val="aff6"/>
        <w:rPr>
          <w:rFonts w:ascii="Times New Roman" w:hAnsi="Times New Roman"/>
          <w:sz w:val="28"/>
          <w:szCs w:val="28"/>
        </w:rPr>
      </w:pPr>
      <w:r w:rsidRPr="00A13BC8">
        <w:rPr>
          <w:rFonts w:ascii="Times New Roman" w:hAnsi="Times New Roman"/>
          <w:sz w:val="28"/>
          <w:szCs w:val="28"/>
        </w:rPr>
        <w:t xml:space="preserve">образования Николаевский сельсовет </w:t>
      </w:r>
      <w:r w:rsidR="00092644" w:rsidRPr="00A13BC8">
        <w:rPr>
          <w:rFonts w:ascii="Times New Roman" w:eastAsia="Tahoma" w:hAnsi="Times New Roman"/>
          <w:kern w:val="2"/>
          <w:sz w:val="28"/>
          <w:szCs w:val="28"/>
        </w:rPr>
        <w:t xml:space="preserve">                                  </w:t>
      </w:r>
      <w:r w:rsidRPr="00A13BC8">
        <w:rPr>
          <w:rFonts w:ascii="Times New Roman" w:eastAsia="Tahoma" w:hAnsi="Times New Roman"/>
          <w:kern w:val="2"/>
          <w:sz w:val="28"/>
          <w:szCs w:val="28"/>
        </w:rPr>
        <w:t>Калмыкова Т.В</w:t>
      </w:r>
      <w:r w:rsidR="00092644" w:rsidRPr="00A13BC8">
        <w:rPr>
          <w:rFonts w:ascii="Times New Roman" w:eastAsia="Tahoma" w:hAnsi="Times New Roman"/>
          <w:kern w:val="2"/>
          <w:sz w:val="28"/>
          <w:szCs w:val="28"/>
        </w:rPr>
        <w:t xml:space="preserve">             </w:t>
      </w:r>
    </w:p>
    <w:p w:rsidR="00A13BC8" w:rsidRDefault="00A13BC8">
      <w:pPr>
        <w:spacing w:line="240" w:lineRule="auto"/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 w:rsidP="00A13BC8">
      <w:pPr>
        <w:spacing w:line="240" w:lineRule="auto"/>
        <w:jc w:val="both"/>
      </w:pPr>
      <w:r>
        <w:rPr>
          <w:rFonts w:ascii="Times New Roman" w:hAnsi="Times New Roman"/>
          <w:w w:val="106"/>
          <w:sz w:val="28"/>
          <w:szCs w:val="28"/>
        </w:rPr>
        <w:t>Разослано: администрации района, прокуратуре района, сайт сельсовета, в дело.</w:t>
      </w: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ind w:firstLine="720"/>
        <w:jc w:val="both"/>
        <w:rPr>
          <w:rFonts w:ascii="Times New Roman" w:hAnsi="Times New Roman"/>
          <w:w w:val="106"/>
          <w:sz w:val="28"/>
          <w:szCs w:val="28"/>
        </w:rPr>
      </w:pPr>
    </w:p>
    <w:p w:rsidR="00092644" w:rsidRDefault="00092644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E12" w:rsidRDefault="00A42E12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widowControl w:val="0"/>
        <w:autoSpaceDE w:val="0"/>
        <w:spacing w:after="0" w:line="240" w:lineRule="auto"/>
        <w:ind w:left="4536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постановлению  администрации </w:t>
      </w:r>
      <w:r w:rsidR="00A13BC8">
        <w:rPr>
          <w:rFonts w:ascii="Times New Roman" w:eastAsia="Times New Roman" w:hAnsi="Times New Roman"/>
          <w:sz w:val="28"/>
          <w:szCs w:val="28"/>
          <w:lang w:eastAsia="ru-RU"/>
        </w:rPr>
        <w:t>Николаевского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092644" w:rsidRDefault="00092644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Саракташского района   </w:t>
      </w:r>
    </w:p>
    <w:p w:rsidR="00092644" w:rsidRDefault="00092644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Оренбургской области</w:t>
      </w:r>
    </w:p>
    <w:p w:rsidR="00092644" w:rsidRDefault="00092644">
      <w:pPr>
        <w:spacing w:after="0" w:line="240" w:lineRule="auto"/>
        <w:ind w:left="3540" w:firstLine="708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 2</w:t>
      </w:r>
      <w:r w:rsidR="00787BB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.05.2023   № 75-п</w:t>
      </w:r>
    </w:p>
    <w:p w:rsidR="00092644" w:rsidRDefault="00092644">
      <w:pPr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Положение</w:t>
      </w:r>
    </w:p>
    <w:p w:rsidR="00092644" w:rsidRDefault="00092644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«Об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области»</w:t>
      </w:r>
    </w:p>
    <w:p w:rsidR="00092644" w:rsidRDefault="00092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Законом Российской Федерации от 14.01.1993 № 4292-1 «Об увековечении памяти погибших при защите Отечества», иными нормативными правовыми актами Российской Федерации, регулирующими вопросы сохранения и содержания военных могил и воинских захоронений, и определяет порядок организации и осуществления мероприятий по увековечению памяти погибших при защите Отечества, регламентирует вопросы обеспечения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1.2. Администрация </w:t>
      </w:r>
      <w:r w:rsidR="00A13BC8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в пределах своей компетенции осуществляет мероприятия по увековечению памяти погибших при защите Отечества,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расположены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1.3. В виду отсутствия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военных кладбищ, военных мемориальных кладбищ, захоронение погибших, обнаруженных при проведении поисковых работ, осуществляется на воинском участке кладбища традиционного захоронения сельского кладбища.</w:t>
      </w:r>
    </w:p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2. Порядок учета воинских захоронений, мемориальных сооружений и объектов, увековечивающих память погибших при защите Отечества</w:t>
      </w: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2.1. 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сооружениями, и объектами, являются воинскими захоронениями. К ним относятся: военные мемориальные кладбища, отдельные воинские участки на общих кладбищах, братские и индивидуальные могилы на общих кладбищах и вне кладбищ, колумбарии и урны с прахом погибших.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2.2. Учету подлежат все воинские захоронения, мемориальные сооружения и объекты.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 их учет ведется Администрацией </w:t>
      </w:r>
      <w:r w:rsidR="00A13BC8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Учет воинских захоронений, мемориальных сооружений и объектов включает выявление, обследование, определение их исторической, научной, художественной или иной культурной ценности, фиксацию и изучение, составление документов муниципального учета.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Документы муниципального учета мемориальных сооружений и объектов подлежат постоянному хранению.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="00A13BC8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ведется учетная ведомость воинских захоронений по форме согласно приложению № 1 к настоящему Положению.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На каждое воинское захоронение, мемориальное сооружение или объект составляется паспорт (приложение № 2) и устанавливается информационный стенд – мемориальный знак.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2.3. Паспорт является учетным документом, содержащим сумму научных сведений и фактических данных, характеризующих воинское захоронение, историю мемориального сооружения или объекта, его современное состояние, местонахождение, оценку исторического, научного, художественного или иного культурного значения. Также в паспорте указываются иные сведения, касающиеся воинских захоронений, мемориальных сооружений и объектов. Паспорт может содержать зарисовку или фотографию воинского захоронения, мемориального сооружения и объекта.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Паспорт для каждого воинского захоронения, мемориального сооружения или объекта составляется в двух экземплярах. Первый экземпляр хранится в Администрации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области, второй – в отделе военного комиссариата по Саракташскому и Беляевскому районам.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2.4. Мемориальный знак изготавливается в виде прямоугольной пластины с нанесением на нее надписей и обозначений методом, </w:t>
      </w:r>
      <w:r>
        <w:rPr>
          <w:rFonts w:ascii="Times New Roman" w:hAnsi="Times New Roman"/>
          <w:sz w:val="28"/>
          <w:szCs w:val="28"/>
        </w:rPr>
        <w:lastRenderedPageBreak/>
        <w:t xml:space="preserve">обеспечивающим их хорошую читаемость, различаемость и длительную сохранность. Пластина должна иметь технически надежное крепление, исключающее возможность разрушения или уничтожения воинского захоронения, и обеспечивающая прочность установки на нем информационных надписей и обозначений с учетом возможных динамических нагрузок. Информационные надписи должны содержать: вид воинского захоронения; полное наименование воинского захоронения в строгом соответствии с его написанием в перечне объектов по увековечению памяти погибших при защите Отечества, расположенных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области; сведения о времени возникновения или дате создания воинского захоронения; краткие исторические события, предшествующие созданию воинского захоронения, связанных с ним исторических событий; информацию  о регистрации воинского захоронения; информацию о границах воинского захоронения; информацию о собственнике воинского захоронения и ответственном органе местного самоуправления (организации, учреждении) за содержание воинского захоронения; слова «Подлежит государственной охране. Лица, причинившие вред воинскому захоронению, несут в соответствии с законодательством Российской Федерации уголовную, административную и иную ответственность».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центре пластины выше информационных надписей располагается эмблема воинского захоронения. Возможно нанесение дополнительных пояснений к основной информации, которые наносятся ниже основных информационных надписей и обозначений.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Место расположения мемориального знака должно быть доступно для прочтения и внешним видом согласовываться с воинским захоронением.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Установленный на воинском захоронении знак может быть демонтирован (устранен) по решению администрации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в случае: ремонта знака, замены информационных надписей и обозначений или проведения работ при реконструкции (ремонте) воинского захоронения.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2.5. Уполномоченный специалист администрации </w:t>
      </w:r>
      <w:r w:rsidR="00A13BC8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ведет реестр воинских захоронений, увековечивающих память погибших при защите Отечества и находящихся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 Содержание, сохранность и благоустройство воинских захоронений, мемориальных сооружений и объектов, увековечивающих память погибших при защите Отечества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3.1.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области, в соответствии с действующим законодательством и настоящим Положением осуществляется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Администрацией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3.2. Мероприятия по обеспечению сохранности воинских захоронений, мемориальных сооружений и объектов, увековечивающих память погибших при защите Отечества, включают: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учет и паспортизацию воинских захоронений, мемориальных сооружений и объектов, увековечивающих память при защите Отечества, расположенных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области, не состоящих на государственной охране, как памятники истории и культуры;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содержание в порядке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области;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организация производства работ по захоронению вновь обнаруженных останков, погибших при защите Отечества;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ведение профилактической работы по предотвращению повреждений или осквернений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области;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установление охранных досок, мемориальных знаков на территории воинских захоронений, погибших при защите Отечества;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контроль за обеспечением сохранности воинских захоронений, мемориальных сооружений и объектов, увековечивающих память погибших при защите Отечества, в период проведения исследовательских и ремонтно-реставрационных работ;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согласование мероприятий по обеспечению сохранности при проведении строительных, земляных, дорожных и других хозяйственных работ, которые могут создать угрозу для сохранности воинских захоронений, мемориальных сооружений и объектов, увековечивающих память погибших при защите отечества, запрещается.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4. Финансовое и материально-техническое обеспечение мероприятий по увековечению памяти погибших при защите Отечества</w:t>
      </w:r>
    </w:p>
    <w:p w:rsidR="00092644" w:rsidRDefault="0009264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4.1. Расходы на проведение мероприятий, связанных с увековечением памяти погибших при защите Отечества, осуществляется за счет средств местного бюджета в соответствии с компетенцией Администрации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области, а также добровольных взносов и пожертвований юридических и физических лиц.</w:t>
      </w: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72"/>
        <w:gridCol w:w="4673"/>
      </w:tblGrid>
      <w:tr w:rsidR="00092644">
        <w:tc>
          <w:tcPr>
            <w:tcW w:w="4672" w:type="dxa"/>
            <w:shd w:val="clear" w:color="auto" w:fill="auto"/>
          </w:tcPr>
          <w:p w:rsidR="00092644" w:rsidRDefault="00092644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092644" w:rsidRDefault="00092644">
            <w:pPr>
              <w:spacing w:after="0" w:line="240" w:lineRule="auto"/>
              <w:ind w:firstLine="709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 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Положению</w:t>
            </w:r>
          </w:p>
          <w:p w:rsidR="00092644" w:rsidRDefault="00092644"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      </w:r>
            <w:r w:rsidR="00A13BC8">
              <w:rPr>
                <w:rFonts w:ascii="Times New Roman" w:hAnsi="Times New Roman"/>
                <w:sz w:val="24"/>
                <w:szCs w:val="24"/>
              </w:rPr>
              <w:t xml:space="preserve">Николаевский </w:t>
            </w:r>
            <w:r>
              <w:rPr>
                <w:rFonts w:ascii="Times New Roman" w:hAnsi="Times New Roman"/>
                <w:sz w:val="24"/>
                <w:szCs w:val="24"/>
              </w:rPr>
              <w:t>сельсовет Саракташского района Оренбургской области</w:t>
            </w:r>
          </w:p>
        </w:tc>
      </w:tr>
    </w:tbl>
    <w:p w:rsidR="00092644" w:rsidRDefault="0009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092644" w:rsidRDefault="00092644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 xml:space="preserve">учетной ведомости воинских захоронений на территории сельского поселения </w:t>
      </w:r>
      <w:r w:rsidR="00A13BC8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</w:t>
      </w:r>
    </w:p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62"/>
        <w:gridCol w:w="1134"/>
        <w:gridCol w:w="993"/>
        <w:gridCol w:w="567"/>
        <w:gridCol w:w="850"/>
        <w:gridCol w:w="992"/>
        <w:gridCol w:w="851"/>
        <w:gridCol w:w="1276"/>
        <w:gridCol w:w="1134"/>
        <w:gridCol w:w="986"/>
      </w:tblGrid>
      <w:tr w:rsidR="00092644">
        <w:trPr>
          <w:trHeight w:val="64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Номер паспорта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Всего захоронений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Тип воинского захоронения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Краткое описание воинского захоронения</w:t>
            </w:r>
          </w:p>
        </w:tc>
      </w:tr>
      <w:tr w:rsidR="00092644">
        <w:trPr>
          <w:trHeight w:val="64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известных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неизвестных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 первую мировую войну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 иных боевых действиях (с указанием страны, региона)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ectPr w:rsidR="00092644"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092644" w:rsidRDefault="000926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672"/>
        <w:gridCol w:w="4673"/>
      </w:tblGrid>
      <w:tr w:rsidR="00092644">
        <w:tc>
          <w:tcPr>
            <w:tcW w:w="4672" w:type="dxa"/>
            <w:shd w:val="clear" w:color="auto" w:fill="auto"/>
          </w:tcPr>
          <w:p w:rsidR="00092644" w:rsidRDefault="00092644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092644" w:rsidRDefault="0009264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 2 к Положению</w:t>
            </w:r>
          </w:p>
          <w:p w:rsidR="00092644" w:rsidRDefault="00092644"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      </w:r>
            <w:r w:rsidR="00A13BC8">
              <w:rPr>
                <w:rFonts w:ascii="Times New Roman" w:hAnsi="Times New Roman"/>
                <w:sz w:val="24"/>
                <w:szCs w:val="24"/>
              </w:rPr>
              <w:t xml:space="preserve">Николаевский </w:t>
            </w:r>
            <w:r>
              <w:rPr>
                <w:rFonts w:ascii="Times New Roman" w:hAnsi="Times New Roman"/>
                <w:sz w:val="24"/>
                <w:szCs w:val="24"/>
              </w:rPr>
              <w:t>сельсовет Саракташского района Оренбургской области</w:t>
            </w:r>
          </w:p>
        </w:tc>
      </w:tr>
    </w:tbl>
    <w:p w:rsidR="00092644" w:rsidRDefault="0009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644" w:rsidRDefault="00092644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092644" w:rsidRDefault="00092644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воинского захоронения или объекта (захоронения) №_____</w:t>
      </w:r>
    </w:p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4"/>
          <w:szCs w:val="24"/>
        </w:rPr>
        <w:t>(страна, кадастровый номер земельного участка или иной государственный учетный номер (при наличии), адрес (при наличии) или местоположение)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1. Место и дата захоронения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4"/>
          <w:szCs w:val="24"/>
        </w:rPr>
        <w:t>(место, дата захоронения (создания); если на кладбище или в могиле погребены останки воинов в порядке перезахоронения, то указывается, откуда и когда они перезахоронены)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2. Вид захоронения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2644" w:rsidRDefault="00092644">
      <w:pPr>
        <w:pStyle w:val="ConsPlusNonformat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(вид захоронения; период истории России, к которому относится захоронение; если захоронением является воинское кладбище или воинский участок кладбища, то указывается количество находящихся на нем братских индивидуальных могил)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3. Размеры захоронения и его состояние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4"/>
          <w:szCs w:val="24"/>
        </w:rPr>
        <w:t>(ширина и длина кладбища, воинского участка кладбища или отдельных могил, наличие и тип ограждения, состояние захоронения (хорошее, удовлетворительное, аварийное)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Краткое описание памятника (надгробия), захоронения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4"/>
          <w:szCs w:val="24"/>
        </w:rPr>
        <w:t>(краткое описание, размеры, материал, из которого он изготовлен, дата установки, фамилия и инициалы автора, техническое состояние памятника, также сообщается о наличии мемориального сооружения, содержащего "Вечный огонь" или "Огонь памяти", другие сведения)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5. Количество захороненных</w:t>
      </w:r>
    </w:p>
    <w:p w:rsidR="00092644" w:rsidRDefault="0009264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8"/>
        <w:gridCol w:w="3235"/>
        <w:gridCol w:w="2778"/>
      </w:tblGrid>
      <w:tr w:rsidR="00092644"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092644"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известных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неизвестных</w:t>
            </w:r>
          </w:p>
        </w:tc>
      </w:tr>
      <w:tr w:rsidR="00092644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4"/>
          <w:szCs w:val="24"/>
        </w:rPr>
        <w:t>(общее количество захороненных, в том числе (при наличии данных) отдельно военнослужащих, партизан, участников движения сопротивления, военнопленных, воинов-интернационалистов)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6. Сведения о захороненных</w:t>
      </w:r>
    </w:p>
    <w:p w:rsidR="00092644" w:rsidRDefault="0009264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1632"/>
        <w:gridCol w:w="1125"/>
        <w:gridCol w:w="1559"/>
        <w:gridCol w:w="794"/>
        <w:gridCol w:w="1104"/>
        <w:gridCol w:w="1854"/>
        <w:gridCol w:w="1038"/>
      </w:tblGrid>
      <w:tr w:rsidR="00092644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подразделение/воинская часть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имя, отчество</w:t>
            </w:r>
          </w:p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гибели</w:t>
            </w:r>
          </w:p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(смерти)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 на кладбище, участке кладбища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перезахоронен</w:t>
            </w:r>
          </w:p>
        </w:tc>
      </w:tr>
      <w:tr w:rsidR="00092644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bookmarkStart w:id="1" w:name="P117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2644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44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(вносятся достоверно установленные сведения о каждом из захороненных; если эти сведения имеются более чем на 10 захороненных, то на них составляется список захороненных (в том числе в электронной форме), который прилагается к паспорту в качестве вкладыша, а в </w:t>
      </w:r>
      <w:hyperlink w:anchor="P117" w:history="1">
        <w:r>
          <w:rPr>
            <w:rStyle w:val="a9"/>
            <w:sz w:val="24"/>
            <w:szCs w:val="24"/>
          </w:rPr>
          <w:t>графе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делается запись: "Согласно прилагаемому списку")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7.  Сведения об организациях, осуществляющих шефство над воинским захоронением (оказывающих помощь в его благоустройстве и содержании)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8.   Фотоснимок захоронения (или его основной части с памятником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(надгробием), сделанный в летнее время года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9.   Схема (координаты, в том числе ГЛОНАСС (GPS) расположения захоронения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92644" w:rsidRDefault="00092644">
      <w:pPr>
        <w:pStyle w:val="ConsPlusNonformat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(наносится схема расположения, ориентированная с юга на север относительно объектов местности, с указанием подъездных путей к захоронению)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10. Дополнительная информация о захоронении</w:t>
      </w:r>
    </w:p>
    <w:p w:rsidR="00092644" w:rsidRDefault="00092644">
      <w:pPr>
        <w:pStyle w:val="ConsPlusNonformat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11. Подписи заинтересованных должностных лиц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823"/>
        <w:gridCol w:w="567"/>
        <w:gridCol w:w="1559"/>
        <w:gridCol w:w="426"/>
        <w:gridCol w:w="3115"/>
      </w:tblGrid>
      <w:tr w:rsidR="00092644">
        <w:tc>
          <w:tcPr>
            <w:tcW w:w="3823" w:type="dxa"/>
            <w:shd w:val="clear" w:color="auto" w:fill="auto"/>
          </w:tcPr>
          <w:p w:rsidR="00092644" w:rsidRDefault="00092644">
            <w:pPr>
              <w:pStyle w:val="ConsPlusNonformat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092644" w:rsidRDefault="00A13BC8">
            <w:pPr>
              <w:pStyle w:val="ConsPlusNonformat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Николаевский </w:t>
            </w:r>
            <w:r w:rsidR="00092644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</w:p>
          <w:p w:rsidR="00092644" w:rsidRDefault="00092644">
            <w:pPr>
              <w:pStyle w:val="ConsPlusNonformat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Саракташского района </w:t>
            </w:r>
          </w:p>
          <w:p w:rsidR="00092644" w:rsidRDefault="00092644">
            <w:pPr>
              <w:pStyle w:val="ConsPlusNonformat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                  </w:t>
            </w:r>
          </w:p>
        </w:tc>
        <w:tc>
          <w:tcPr>
            <w:tcW w:w="567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ind w:left="-245" w:firstLine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44" w:rsidRDefault="00092644">
            <w:pPr>
              <w:pStyle w:val="ConsPlusNonformat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44" w:rsidRDefault="00092644">
            <w:pPr>
              <w:pStyle w:val="ConsPlusNonformat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644">
        <w:tc>
          <w:tcPr>
            <w:tcW w:w="3823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nformat0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092644" w:rsidRDefault="00092644">
            <w:pPr>
              <w:pStyle w:val="ConsPlusNonformat0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</w:tbl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М.П.</w:t>
      </w:r>
    </w:p>
    <w:p w:rsidR="00092644" w:rsidRDefault="00092644">
      <w:pPr>
        <w:pStyle w:val="ConsPlusNonformat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"__" ________ 20____ г.</w:t>
      </w: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823"/>
        <w:gridCol w:w="567"/>
        <w:gridCol w:w="1559"/>
        <w:gridCol w:w="426"/>
        <w:gridCol w:w="3115"/>
      </w:tblGrid>
      <w:tr w:rsidR="00092644">
        <w:tc>
          <w:tcPr>
            <w:tcW w:w="3823" w:type="dxa"/>
            <w:shd w:val="clear" w:color="auto" w:fill="auto"/>
          </w:tcPr>
          <w:p w:rsidR="00092644" w:rsidRDefault="00092644">
            <w:pPr>
              <w:pStyle w:val="ConsPlusNonformat0"/>
              <w:spacing w:after="20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комиссар Саракташского и Беляевского районов</w:t>
            </w:r>
          </w:p>
        </w:tc>
        <w:tc>
          <w:tcPr>
            <w:tcW w:w="567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ind w:left="-245" w:firstLine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644">
        <w:tc>
          <w:tcPr>
            <w:tcW w:w="3823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92644" w:rsidRDefault="00092644">
            <w:pPr>
              <w:pStyle w:val="ConsPlusNonformat0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  <w:shd w:val="clear" w:color="auto" w:fill="auto"/>
          </w:tcPr>
          <w:p w:rsidR="00092644" w:rsidRDefault="00092644">
            <w:pPr>
              <w:pStyle w:val="ConsPlusNonformat0"/>
              <w:snapToGrid w:val="0"/>
              <w:spacing w:after="200" w:line="276" w:lineRule="auto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092644" w:rsidRDefault="00092644">
            <w:pPr>
              <w:pStyle w:val="ConsPlusNonformat0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</w:tbl>
    <w:p w:rsidR="00092644" w:rsidRDefault="0009264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nformat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М.П.</w:t>
      </w:r>
    </w:p>
    <w:p w:rsidR="00092644" w:rsidRDefault="00092644">
      <w:pPr>
        <w:pStyle w:val="ConsPlusNonformat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"__" ________20____ г.</w:t>
      </w:r>
    </w:p>
    <w:p w:rsidR="00092644" w:rsidRDefault="0009264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644" w:rsidRDefault="00092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644" w:rsidRDefault="00092644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</w:pPr>
    </w:p>
    <w:sectPr w:rsidR="00092644">
      <w:headerReference w:type="default" r:id="rId8"/>
      <w:headerReference w:type="first" r:id="rId9"/>
      <w:pgSz w:w="11906" w:h="16838"/>
      <w:pgMar w:top="1134" w:right="849" w:bottom="1135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F86" w:rsidRDefault="009B3F86">
      <w:pPr>
        <w:spacing w:after="0" w:line="240" w:lineRule="auto"/>
      </w:pPr>
      <w:r>
        <w:separator/>
      </w:r>
    </w:p>
  </w:endnote>
  <w:endnote w:type="continuationSeparator" w:id="1">
    <w:p w:rsidR="009B3F86" w:rsidRDefault="009B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F86" w:rsidRDefault="009B3F86">
      <w:pPr>
        <w:spacing w:after="0" w:line="240" w:lineRule="auto"/>
      </w:pPr>
      <w:r>
        <w:separator/>
      </w:r>
    </w:p>
  </w:footnote>
  <w:footnote w:type="continuationSeparator" w:id="1">
    <w:p w:rsidR="009B3F86" w:rsidRDefault="009B3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44" w:rsidRDefault="00092644">
    <w:pPr>
      <w:pStyle w:val="af8"/>
      <w:jc w:val="center"/>
    </w:pPr>
    <w:fldSimple w:instr=" PAGE ">
      <w:r w:rsidR="000F16E6">
        <w:rPr>
          <w:noProof/>
        </w:rPr>
        <w:t>10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44" w:rsidRDefault="00092644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8412AB"/>
    <w:multiLevelType w:val="hybridMultilevel"/>
    <w:tmpl w:val="82381772"/>
    <w:lvl w:ilvl="0" w:tplc="329021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BBD"/>
    <w:rsid w:val="00092644"/>
    <w:rsid w:val="000F16E6"/>
    <w:rsid w:val="00193401"/>
    <w:rsid w:val="004A5A32"/>
    <w:rsid w:val="00787BBD"/>
    <w:rsid w:val="008D73DA"/>
    <w:rsid w:val="009B3F86"/>
    <w:rsid w:val="00A13BC8"/>
    <w:rsid w:val="00A42E12"/>
    <w:rsid w:val="00E4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0"/>
      <w:szCs w:val="20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Pr>
      <w:rFonts w:hint="default"/>
      <w:lang w:val="ru-RU" w:bidi="ar-SA"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35z1">
    <w:name w:val="WW8Num35z1"/>
    <w:rPr>
      <w:rFonts w:hint="default"/>
      <w:lang w:val="ru-RU" w:bidi="ar-SA"/>
    </w:rPr>
  </w:style>
  <w:style w:type="character" w:customStyle="1" w:styleId="WW8Num36z0">
    <w:name w:val="WW8Num36z0"/>
    <w:rPr>
      <w:rFonts w:ascii="Wingdings" w:hAnsi="Wingdings" w:cs="Wingdings" w:hint="default"/>
      <w:sz w:val="20"/>
    </w:rPr>
  </w:style>
  <w:style w:type="character" w:customStyle="1" w:styleId="WW8NumSt33z0">
    <w:name w:val="WW8NumSt33z0"/>
    <w:rPr>
      <w:rFonts w:ascii="Wingdings" w:hAnsi="Wingdings" w:cs="Wingdings" w:hint="default"/>
      <w:sz w:val="20"/>
    </w:rPr>
  </w:style>
  <w:style w:type="character" w:customStyle="1" w:styleId="WW8NumSt34z0">
    <w:name w:val="WW8NumSt34z0"/>
    <w:rPr>
      <w:rFonts w:ascii="Wingdings" w:hAnsi="Wingdings" w:cs="Wingdings" w:hint="default"/>
      <w:sz w:val="20"/>
    </w:rPr>
  </w:style>
  <w:style w:type="character" w:customStyle="1" w:styleId="WW8NumSt35z0">
    <w:name w:val="WW8NumSt35z0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  <w:rPr>
      <w:rFonts w:ascii="Calibri" w:eastAsia="Calibri" w:hAnsi="Calibri" w:cs="Times New Roman"/>
    </w:rPr>
  </w:style>
  <w:style w:type="character" w:customStyle="1" w:styleId="a4">
    <w:name w:val="Подзаголовок Знак"/>
    <w:basedOn w:val="10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0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Pr>
      <w:rFonts w:ascii="Times New Roman" w:hAnsi="Times New Roman" w:cs="Times New Roman"/>
      <w:lang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1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sz w:val="28"/>
      <w:szCs w:val="28"/>
      <w:lang/>
    </w:rPr>
  </w:style>
  <w:style w:type="character" w:customStyle="1" w:styleId="60">
    <w:name w:val="Заголовок 6 Знак"/>
    <w:basedOn w:val="10"/>
    <w:rPr>
      <w:rFonts w:ascii="Times New Roman" w:hAnsi="Times New Roman" w:cs="Times New Roman"/>
      <w:b/>
      <w:bCs/>
      <w:lang w:eastAsia="zh-CN"/>
    </w:rPr>
  </w:style>
  <w:style w:type="character" w:customStyle="1" w:styleId="a7">
    <w:name w:val="Нижний колонтитул Знак"/>
    <w:basedOn w:val="10"/>
    <w:rPr>
      <w:lang/>
    </w:rPr>
  </w:style>
  <w:style w:type="character" w:styleId="a8">
    <w:name w:val="page number"/>
    <w:rPr>
      <w:rFonts w:cs="Times New Roman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ab">
    <w:name w:val="Основной текст Знак"/>
    <w:basedOn w:val="10"/>
    <w:rPr>
      <w:rFonts w:ascii="Times New Roman" w:hAnsi="Times New Roman" w:cs="Times New Roman"/>
      <w:sz w:val="24"/>
      <w:szCs w:val="24"/>
      <w:lang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</w:rPr>
  </w:style>
  <w:style w:type="character" w:customStyle="1" w:styleId="FontStyle18">
    <w:name w:val="Font Style18"/>
    <w:rPr>
      <w:rFonts w:ascii="Arial" w:hAnsi="Arial" w:cs="Arial"/>
      <w:b/>
      <w:spacing w:val="-10"/>
      <w:sz w:val="20"/>
    </w:rPr>
  </w:style>
  <w:style w:type="character" w:customStyle="1" w:styleId="ac">
    <w:name w:val="Текст сноски Знак"/>
    <w:basedOn w:val="10"/>
    <w:rPr>
      <w:rFonts w:ascii="Times New Roman" w:hAnsi="Times New Roman" w:cs="Times New Roman"/>
      <w:lang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ConsPlusNormal">
    <w:name w:val="ConsPlusNormal Знак"/>
    <w:rPr>
      <w:rFonts w:ascii="Arial" w:hAnsi="Arial" w:cs="Arial"/>
      <w:lang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21">
    <w:name w:val="Основной текст (2)_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</w:style>
  <w:style w:type="character" w:styleId="ad">
    <w:name w:val="Emphasis"/>
    <w:qFormat/>
    <w:rPr>
      <w:i/>
      <w:iCs/>
    </w:rPr>
  </w:style>
  <w:style w:type="character" w:customStyle="1" w:styleId="blk">
    <w:name w:val="blk"/>
    <w:basedOn w:val="10"/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styleId="ae">
    <w:name w:val="Strong"/>
    <w:qFormat/>
    <w:rPr>
      <w:b/>
      <w:bCs/>
      <w:color w:val="000000"/>
    </w:rPr>
  </w:style>
  <w:style w:type="character" w:customStyle="1" w:styleId="af">
    <w:name w:val="Основной текст_"/>
    <w:basedOn w:val="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0">
    <w:name w:val="Текст концевой сноски Знак"/>
    <w:basedOn w:val="10"/>
    <w:rPr>
      <w:rFonts w:eastAsia="Times New Roman"/>
      <w:lang/>
    </w:rPr>
  </w:style>
  <w:style w:type="character" w:customStyle="1" w:styleId="docdata">
    <w:name w:val="docdata"/>
    <w:basedOn w:val="10"/>
  </w:style>
  <w:style w:type="character" w:customStyle="1" w:styleId="22">
    <w:name w:val="Основной текст с отступом 2 Знак"/>
    <w:basedOn w:val="10"/>
    <w:rPr>
      <w:sz w:val="22"/>
      <w:szCs w:val="22"/>
    </w:rPr>
  </w:style>
  <w:style w:type="character" w:customStyle="1" w:styleId="af1">
    <w:name w:val="Название Знак"/>
    <w:basedOn w:val="10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Текст выноски Знак1"/>
    <w:basedOn w:val="10"/>
    <w:rPr>
      <w:rFonts w:ascii="Tahoma" w:eastAsia="Times New Roman" w:hAnsi="Tahoma" w:cs="Tahoma"/>
      <w:sz w:val="16"/>
      <w:szCs w:val="16"/>
    </w:rPr>
  </w:style>
  <w:style w:type="character" w:customStyle="1" w:styleId="af2">
    <w:name w:val="Гипертекстовая ссылка"/>
    <w:basedOn w:val="10"/>
    <w:rPr>
      <w:color w:val="106BBE"/>
    </w:rPr>
  </w:style>
  <w:style w:type="character" w:customStyle="1" w:styleId="af3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FontStyle60">
    <w:name w:val="Font Style60"/>
    <w:basedOn w:val="10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Pr>
      <w:b/>
      <w:bCs/>
      <w:color w:val="26282F"/>
    </w:rPr>
  </w:style>
  <w:style w:type="paragraph" w:customStyle="1" w:styleId="Heading">
    <w:name w:val="Heading"/>
    <w:basedOn w:val="a"/>
    <w:next w:val="af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f5">
    <w:name w:val="Body Text"/>
    <w:basedOn w:val="a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paragraph" w:styleId="af6">
    <w:name w:val="List"/>
    <w:basedOn w:val="af5"/>
    <w:rPr>
      <w:rFonts w:cs="Nirmala U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</w:style>
  <w:style w:type="paragraph" w:styleId="af9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styleId="a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d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8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footnote text"/>
    <w:basedOn w:val="a"/>
    <w:pPr>
      <w:autoSpaceDE w:val="0"/>
      <w:spacing w:after="0"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0" w:line="312" w:lineRule="exact"/>
    </w:pPr>
    <w:rPr>
      <w:sz w:val="27"/>
      <w:szCs w:val="27"/>
      <w:lang/>
    </w:rPr>
  </w:style>
  <w:style w:type="paragraph" w:customStyle="1" w:styleId="120">
    <w:name w:val="Основной текст (12)"/>
    <w:basedOn w:val="a"/>
    <w:pPr>
      <w:widowControl w:val="0"/>
      <w:shd w:val="clear" w:color="auto" w:fill="FFFFFF"/>
      <w:spacing w:before="120" w:after="540" w:line="240" w:lineRule="atLeast"/>
      <w:jc w:val="right"/>
    </w:pPr>
    <w:rPr>
      <w:lang/>
    </w:rPr>
  </w:style>
  <w:style w:type="paragraph" w:customStyle="1" w:styleId="130">
    <w:name w:val="Основной текст (13)"/>
    <w:basedOn w:val="a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  <w:lang/>
    </w:rPr>
  </w:style>
  <w:style w:type="paragraph" w:customStyle="1" w:styleId="140">
    <w:name w:val="Основной текст (14)"/>
    <w:basedOn w:val="a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  <w:lang/>
    </w:rPr>
  </w:style>
  <w:style w:type="paragraph" w:customStyle="1" w:styleId="150">
    <w:name w:val="Основной текст (15)"/>
    <w:basedOn w:val="a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lang/>
    </w:rPr>
  </w:style>
  <w:style w:type="paragraph" w:customStyle="1" w:styleId="161">
    <w:name w:val="Основной текст (16)"/>
    <w:basedOn w:val="a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ListParagraph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aff">
    <w:name w:val="Знак Знак Знак Знак Знак Знак Знак Знак Знак"/>
    <w:basedOn w:val="a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0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1">
    <w:name w:val="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aff2">
    <w:name w:val="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 Знак Знак8 Знак Знак"/>
    <w:basedOn w:val="a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ff3">
    <w:name w:val="endnote text"/>
    <w:basedOn w:val="a"/>
    <w:pPr>
      <w:spacing w:after="0" w:line="240" w:lineRule="auto"/>
    </w:pPr>
    <w:rPr>
      <w:rFonts w:eastAsia="Times New Roman"/>
      <w:sz w:val="20"/>
      <w:szCs w:val="20"/>
      <w:lang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Style11">
    <w:name w:val="Style11"/>
    <w:basedOn w:val="a"/>
    <w:pPr>
      <w:widowControl w:val="0"/>
      <w:autoSpaceDE w:val="0"/>
      <w:spacing w:after="0" w:line="318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4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5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f6">
    <w:name w:val="No Spacing"/>
    <w:uiPriority w:val="1"/>
    <w:qFormat/>
    <w:rsid w:val="00A13BC8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Links>
    <vt:vector size="6" baseType="variant">
      <vt:variant>
        <vt:i4>393281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2023-05-24T04:03:00Z</cp:lastPrinted>
  <dcterms:created xsi:type="dcterms:W3CDTF">2023-06-13T10:43:00Z</dcterms:created>
  <dcterms:modified xsi:type="dcterms:W3CDTF">2023-06-13T10:43:00Z</dcterms:modified>
</cp:coreProperties>
</file>