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80477">
        <w:trPr>
          <w:trHeight w:val="961"/>
          <w:jc w:val="center"/>
        </w:trPr>
        <w:tc>
          <w:tcPr>
            <w:tcW w:w="3321" w:type="dxa"/>
          </w:tcPr>
          <w:p w:rsidR="00380477" w:rsidRDefault="00380477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380477" w:rsidRDefault="002B0AFB" w:rsidP="00AC05D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048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80477" w:rsidRDefault="00380477" w:rsidP="00AC05D8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380477" w:rsidRDefault="00380477" w:rsidP="00EC1E94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380477" w:rsidRDefault="00380477" w:rsidP="00EC1E94">
      <w:pPr>
        <w:rPr>
          <w:b/>
        </w:rPr>
      </w:pPr>
    </w:p>
    <w:p w:rsidR="00380477" w:rsidRDefault="00380477" w:rsidP="00EC1E9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380477" w:rsidRDefault="00380477" w:rsidP="00EC1E9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80477" w:rsidRDefault="00380477" w:rsidP="006E4D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6D8F">
        <w:rPr>
          <w:sz w:val="28"/>
          <w:szCs w:val="28"/>
        </w:rPr>
        <w:t>3</w:t>
      </w:r>
      <w:r>
        <w:rPr>
          <w:sz w:val="28"/>
          <w:szCs w:val="28"/>
        </w:rPr>
        <w:t>.11.202</w:t>
      </w:r>
      <w:r w:rsidR="002A6D8F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года                </w:t>
      </w:r>
      <w:r w:rsidR="006E4D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6E4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с. Николаевка</w:t>
      </w:r>
      <w:r>
        <w:rPr>
          <w:sz w:val="28"/>
          <w:szCs w:val="28"/>
        </w:rPr>
        <w:tab/>
        <w:t xml:space="preserve">                            </w:t>
      </w:r>
      <w:r w:rsidR="006E4DE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№ </w:t>
      </w:r>
      <w:r w:rsidR="002A6D8F">
        <w:rPr>
          <w:sz w:val="28"/>
          <w:szCs w:val="28"/>
        </w:rPr>
        <w:t>80</w:t>
      </w:r>
      <w:r>
        <w:rPr>
          <w:sz w:val="28"/>
          <w:szCs w:val="28"/>
        </w:rPr>
        <w:t>-п</w:t>
      </w:r>
    </w:p>
    <w:p w:rsidR="00380477" w:rsidRDefault="00380477" w:rsidP="00EC1E9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80477" w:rsidRPr="00DD6F20" w:rsidRDefault="00380477" w:rsidP="00072E6E">
      <w:pPr>
        <w:ind w:right="-142"/>
        <w:rPr>
          <w:sz w:val="28"/>
          <w:szCs w:val="28"/>
        </w:rPr>
      </w:pPr>
    </w:p>
    <w:p w:rsidR="00380477" w:rsidRDefault="00380477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</w:p>
    <w:p w:rsidR="00380477" w:rsidRDefault="00380477" w:rsidP="000C35D9">
      <w:pPr>
        <w:jc w:val="center"/>
        <w:rPr>
          <w:sz w:val="28"/>
          <w:szCs w:val="28"/>
        </w:rPr>
      </w:pPr>
      <w:bookmarkStart w:id="1" w:name="_Toc105952693"/>
      <w:r>
        <w:rPr>
          <w:bCs/>
          <w:sz w:val="28"/>
          <w:szCs w:val="28"/>
        </w:rPr>
        <w:t>О проекте  бюджета муниципального образования Николаевский сельсовет Саракташского района  на 202</w:t>
      </w:r>
      <w:r w:rsidR="002A6D8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 </w:t>
      </w:r>
      <w:bookmarkEnd w:id="1"/>
      <w:r>
        <w:rPr>
          <w:sz w:val="28"/>
          <w:szCs w:val="28"/>
        </w:rPr>
        <w:t xml:space="preserve">на плановый период </w:t>
      </w:r>
    </w:p>
    <w:p w:rsidR="00380477" w:rsidRDefault="00380477" w:rsidP="000C35D9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A6D8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</w:t>
      </w:r>
    </w:p>
    <w:p w:rsidR="00380477" w:rsidRDefault="00380477" w:rsidP="006E3362">
      <w:pPr>
        <w:rPr>
          <w:lang w:eastAsia="en-US"/>
        </w:rPr>
      </w:pPr>
    </w:p>
    <w:p w:rsidR="00380477" w:rsidRDefault="00380477" w:rsidP="006E3362">
      <w:pPr>
        <w:rPr>
          <w:lang w:eastAsia="en-US"/>
        </w:rPr>
      </w:pPr>
    </w:p>
    <w:p w:rsidR="00380477" w:rsidRDefault="00380477" w:rsidP="000C3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проект </w:t>
      </w:r>
      <w:r>
        <w:rPr>
          <w:bCs/>
          <w:sz w:val="28"/>
          <w:szCs w:val="28"/>
        </w:rPr>
        <w:t xml:space="preserve">бюджета муниципального образования Николаевский сельсовет Саракташского района  </w:t>
      </w:r>
      <w:r>
        <w:rPr>
          <w:sz w:val="28"/>
          <w:szCs w:val="28"/>
        </w:rPr>
        <w:t>на 202</w:t>
      </w:r>
      <w:r w:rsidR="002A6D8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A6D8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годов, администрация </w:t>
      </w:r>
      <w:r w:rsidR="002A6D8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постановляет:</w:t>
      </w:r>
    </w:p>
    <w:p w:rsidR="00380477" w:rsidRDefault="00380477" w:rsidP="006E3362">
      <w:pPr>
        <w:jc w:val="both"/>
        <w:rPr>
          <w:sz w:val="28"/>
          <w:szCs w:val="28"/>
        </w:rPr>
      </w:pP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Одобрить: 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Основные направления налоговой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>на 202</w:t>
      </w:r>
      <w:r w:rsidR="002A6D8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A6D8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№1.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Основные направления бюджетной политики в </w:t>
      </w:r>
      <w:r>
        <w:rPr>
          <w:bCs/>
          <w:sz w:val="28"/>
          <w:szCs w:val="28"/>
        </w:rPr>
        <w:t xml:space="preserve">муниципальном образовании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2A6D8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A6D8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согласно приложению №2.</w:t>
      </w:r>
    </w:p>
    <w:p w:rsidR="00380477" w:rsidRDefault="00380477" w:rsidP="000C35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Бухгалтеру (Манихиной О.М.) подготовить проект решения  Совета депутатов </w:t>
      </w:r>
      <w:r w:rsidR="002A6D8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 xml:space="preserve">муниципального образования Николаевский сельсовет Саракташского района  </w:t>
      </w:r>
      <w:r>
        <w:rPr>
          <w:sz w:val="28"/>
          <w:szCs w:val="28"/>
        </w:rPr>
        <w:t xml:space="preserve"> на 202</w:t>
      </w:r>
      <w:r w:rsidR="002A6D8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A6D8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для внесения в Совет депутатов</w:t>
      </w:r>
      <w:r w:rsidR="002A6D8F">
        <w:rPr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Николаевский сельсовет</w:t>
      </w:r>
      <w:r>
        <w:rPr>
          <w:sz w:val="28"/>
          <w:szCs w:val="28"/>
        </w:rPr>
        <w:t>.</w:t>
      </w:r>
    </w:p>
    <w:p w:rsidR="00380477" w:rsidRDefault="00380477" w:rsidP="006E33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Контроль за исполнением данного постановления оставляю за собой.</w:t>
      </w:r>
    </w:p>
    <w:p w:rsidR="00380477" w:rsidRDefault="00380477" w:rsidP="006E33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со дня его подписания.</w:t>
      </w:r>
    </w:p>
    <w:p w:rsidR="00380477" w:rsidRDefault="00380477" w:rsidP="006E3362">
      <w:pPr>
        <w:rPr>
          <w:sz w:val="28"/>
          <w:szCs w:val="28"/>
        </w:rPr>
      </w:pPr>
    </w:p>
    <w:p w:rsidR="00380477" w:rsidRDefault="00380477" w:rsidP="006E3362">
      <w:pPr>
        <w:rPr>
          <w:sz w:val="28"/>
          <w:szCs w:val="28"/>
        </w:rPr>
      </w:pPr>
    </w:p>
    <w:p w:rsidR="002A6D8F" w:rsidRDefault="002A6D8F" w:rsidP="002A6D8F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 xml:space="preserve">ВРИО Главы муниципального образования </w:t>
      </w:r>
    </w:p>
    <w:p w:rsidR="00380477" w:rsidRDefault="002A6D8F" w:rsidP="002A6D8F">
      <w:pPr>
        <w:jc w:val="both"/>
        <w:rPr>
          <w:sz w:val="28"/>
          <w:szCs w:val="28"/>
        </w:rPr>
      </w:pPr>
      <w:r w:rsidRPr="00615007">
        <w:rPr>
          <w:sz w:val="28"/>
          <w:szCs w:val="28"/>
        </w:rPr>
        <w:t>Николаевский сельсовет                                                З.А. Султангузина</w:t>
      </w: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E4DE8" w:rsidRDefault="006E4DE8" w:rsidP="006E3362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380477" w:rsidRDefault="00380477" w:rsidP="006E4DE8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Манихиной О.М., прокуратуре района, в дело.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к Постановлению администрации </w:t>
      </w:r>
    </w:p>
    <w:p w:rsidR="00380477" w:rsidRPr="002E5F59" w:rsidRDefault="00380477" w:rsidP="0041164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от 1</w:t>
      </w:r>
      <w:r w:rsidR="002A6D8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.11.202</w:t>
      </w:r>
      <w:r w:rsidR="002A6D8F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 № </w:t>
      </w:r>
      <w:r w:rsidR="002A6D8F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>-п</w:t>
      </w:r>
      <w:r w:rsidRPr="00884CAC">
        <w:rPr>
          <w:color w:val="000000"/>
          <w:sz w:val="28"/>
          <w:szCs w:val="28"/>
        </w:rPr>
        <w:t xml:space="preserve"> </w:t>
      </w: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380477" w:rsidRPr="002E5F59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2A6D8F">
        <w:rPr>
          <w:b/>
          <w:color w:val="000000"/>
          <w:sz w:val="28"/>
          <w:szCs w:val="28"/>
        </w:rPr>
        <w:t>4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2A6D8F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2A6D8F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1.Итоги реализации налоговой политики </w:t>
      </w:r>
      <w:r w:rsidR="00731B07">
        <w:rPr>
          <w:color w:val="000000"/>
          <w:sz w:val="28"/>
          <w:szCs w:val="28"/>
        </w:rPr>
        <w:t>202</w:t>
      </w:r>
      <w:r w:rsidR="002A6D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–начала 202</w:t>
      </w:r>
      <w:r w:rsidR="002A6D8F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 xml:space="preserve">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380477" w:rsidRPr="002E5F59" w:rsidRDefault="00380477" w:rsidP="000C35D9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>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>годов</w:t>
      </w:r>
      <w:r w:rsidRPr="002E5F59">
        <w:rPr>
          <w:color w:val="000000"/>
          <w:sz w:val="28"/>
          <w:szCs w:val="28"/>
        </w:rPr>
        <w:t>;</w:t>
      </w:r>
    </w:p>
    <w:p w:rsidR="00380477" w:rsidRPr="002E5F59" w:rsidRDefault="00380477" w:rsidP="006E3362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Отчет Главы муниципального района за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год;</w:t>
      </w:r>
    </w:p>
    <w:p w:rsidR="00380477" w:rsidRPr="002E5F59" w:rsidRDefault="00380477" w:rsidP="000C35D9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</w:t>
      </w:r>
      <w:r>
        <w:rPr>
          <w:color w:val="000000"/>
          <w:sz w:val="28"/>
          <w:szCs w:val="28"/>
        </w:rPr>
        <w:t>202</w:t>
      </w:r>
      <w:r w:rsidR="002A6D8F">
        <w:rPr>
          <w:color w:val="000000"/>
          <w:sz w:val="28"/>
          <w:szCs w:val="28"/>
        </w:rPr>
        <w:t xml:space="preserve">4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Поступление налоговых и неналоговых доходов в бюджет поселения в </w:t>
      </w:r>
      <w:r>
        <w:rPr>
          <w:color w:val="000000"/>
          <w:sz w:val="28"/>
          <w:szCs w:val="28"/>
        </w:rPr>
        <w:t>202</w:t>
      </w:r>
      <w:r w:rsidR="002A6D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</w:t>
      </w:r>
      <w:r w:rsidRPr="002E5F59">
        <w:rPr>
          <w:color w:val="000000"/>
          <w:sz w:val="28"/>
          <w:szCs w:val="28"/>
        </w:rPr>
        <w:t xml:space="preserve"> составило </w:t>
      </w:r>
      <w:r w:rsidR="00E600D9">
        <w:rPr>
          <w:color w:val="000000"/>
          <w:sz w:val="28"/>
          <w:szCs w:val="28"/>
        </w:rPr>
        <w:t>7537,7</w:t>
      </w:r>
      <w:r>
        <w:rPr>
          <w:color w:val="FF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тыс.руб</w:t>
      </w:r>
      <w:r>
        <w:rPr>
          <w:color w:val="000000"/>
          <w:sz w:val="28"/>
          <w:szCs w:val="28"/>
        </w:rPr>
        <w:t xml:space="preserve">.  </w:t>
      </w:r>
      <w:r w:rsidRPr="002E5F59">
        <w:rPr>
          <w:color w:val="000000"/>
          <w:sz w:val="28"/>
          <w:szCs w:val="28"/>
        </w:rPr>
        <w:t xml:space="preserve">Налоговая политика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– начало 202</w:t>
      </w:r>
      <w:r w:rsidR="002A6D8F"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</w:t>
      </w:r>
      <w:r w:rsidRPr="002E5F59">
        <w:rPr>
          <w:sz w:val="28"/>
          <w:szCs w:val="28"/>
        </w:rPr>
        <w:lastRenderedPageBreak/>
        <w:t xml:space="preserve">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380477" w:rsidRPr="002E5F59" w:rsidRDefault="00380477" w:rsidP="006E3362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380477" w:rsidRDefault="00380477" w:rsidP="006E336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0477" w:rsidRPr="00F92606" w:rsidRDefault="00380477" w:rsidP="000C35D9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202</w:t>
      </w:r>
      <w:r w:rsidR="002A6D8F">
        <w:rPr>
          <w:b/>
          <w:color w:val="000000"/>
          <w:sz w:val="28"/>
          <w:szCs w:val="28"/>
        </w:rPr>
        <w:t>4</w:t>
      </w:r>
      <w:r w:rsidRPr="00FB28E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>
        <w:rPr>
          <w:b/>
          <w:sz w:val="28"/>
          <w:szCs w:val="28"/>
        </w:rPr>
        <w:t>202</w:t>
      </w:r>
      <w:r w:rsidR="002A6D8F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2A6D8F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380477" w:rsidRDefault="00380477" w:rsidP="000C35D9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по 202</w:t>
      </w:r>
      <w:r w:rsidR="002A6D8F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380477" w:rsidRPr="002E5F59" w:rsidRDefault="00380477" w:rsidP="006E3362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380477" w:rsidRPr="002E5F59" w:rsidRDefault="00380477" w:rsidP="006E3362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380477" w:rsidRPr="002E5F59" w:rsidRDefault="00380477" w:rsidP="000C35D9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- 202</w:t>
      </w:r>
      <w:r w:rsidR="002A6D8F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405FA8" w:rsidRDefault="00380477" w:rsidP="006E3362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380477" w:rsidRPr="002E5F59" w:rsidRDefault="00380477" w:rsidP="006E336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  <w:r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380477" w:rsidRPr="002E5F59" w:rsidRDefault="00380477" w:rsidP="000C35D9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</w:t>
      </w:r>
      <w:r w:rsidR="002A6D8F">
        <w:rPr>
          <w:color w:val="000000"/>
          <w:sz w:val="28"/>
          <w:szCs w:val="28"/>
        </w:rPr>
        <w:t>от 13.11.2023</w:t>
      </w:r>
      <w:r>
        <w:rPr>
          <w:color w:val="000000"/>
          <w:sz w:val="28"/>
          <w:szCs w:val="28"/>
        </w:rPr>
        <w:t xml:space="preserve"> № </w:t>
      </w:r>
      <w:r w:rsidR="002A6D8F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>-п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380477" w:rsidRPr="002E5F59" w:rsidRDefault="00380477" w:rsidP="006E3362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Николаевский </w:t>
      </w:r>
      <w:r w:rsidRPr="002E5F59">
        <w:rPr>
          <w:b/>
          <w:sz w:val="28"/>
          <w:szCs w:val="28"/>
        </w:rPr>
        <w:t xml:space="preserve">сельсовет Саракташского района Оренбургской области </w:t>
      </w:r>
    </w:p>
    <w:p w:rsidR="00380477" w:rsidRPr="006D6178" w:rsidRDefault="00380477" w:rsidP="000C35D9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2A6D8F">
        <w:rPr>
          <w:b/>
          <w:color w:val="000000"/>
          <w:sz w:val="28"/>
          <w:szCs w:val="28"/>
        </w:rPr>
        <w:t>4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2A6D8F">
        <w:rPr>
          <w:b/>
          <w:color w:val="000000"/>
          <w:sz w:val="28"/>
          <w:szCs w:val="28"/>
        </w:rPr>
        <w:t xml:space="preserve">5 </w:t>
      </w:r>
      <w:r>
        <w:rPr>
          <w:b/>
          <w:color w:val="000000"/>
          <w:sz w:val="28"/>
          <w:szCs w:val="28"/>
        </w:rPr>
        <w:t>и 202</w:t>
      </w:r>
      <w:r w:rsidR="002A6D8F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Pr="00E02E4B" w:rsidRDefault="00380477" w:rsidP="006E3362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380477" w:rsidRPr="002E5F59" w:rsidRDefault="00380477" w:rsidP="000C35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2A6D8F" w:rsidRPr="002A6D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A6D8F">
        <w:rPr>
          <w:rFonts w:ascii="Times New Roman" w:hAnsi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 w:rsidR="002A6D8F"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2A6D8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 w:rsidR="002A6D8F" w:rsidRPr="002A6D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A6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1E94">
        <w:rPr>
          <w:rFonts w:ascii="Times New Roman" w:hAnsi="Times New Roman" w:cs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sz w:val="28"/>
          <w:szCs w:val="28"/>
        </w:rPr>
        <w:t>;</w:t>
      </w:r>
    </w:p>
    <w:p w:rsidR="00380477" w:rsidRPr="002E5F59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</w:t>
      </w:r>
      <w:r w:rsidR="002A6D8F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>.</w:t>
      </w:r>
    </w:p>
    <w:p w:rsidR="00380477" w:rsidRDefault="00380477" w:rsidP="000C35D9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на 202</w:t>
      </w:r>
      <w:r w:rsidR="002A6D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2A6D8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380477" w:rsidRPr="002E5F59" w:rsidRDefault="00380477" w:rsidP="006E3362">
      <w:pPr>
        <w:jc w:val="both"/>
        <w:rPr>
          <w:color w:val="000000"/>
          <w:sz w:val="28"/>
          <w:szCs w:val="28"/>
        </w:rPr>
      </w:pPr>
    </w:p>
    <w:p w:rsidR="00380477" w:rsidRDefault="00380477" w:rsidP="006E3362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380477" w:rsidRPr="002E5F59" w:rsidRDefault="00380477" w:rsidP="000C35D9">
      <w:pPr>
        <w:pStyle w:val="af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A6D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и начала 202</w:t>
      </w:r>
      <w:r w:rsidR="002A6D8F">
        <w:rPr>
          <w:b/>
          <w:sz w:val="28"/>
          <w:szCs w:val="28"/>
        </w:rPr>
        <w:t>3</w:t>
      </w:r>
      <w:r w:rsidRPr="002E5F59">
        <w:rPr>
          <w:b/>
          <w:sz w:val="28"/>
          <w:szCs w:val="28"/>
        </w:rPr>
        <w:t xml:space="preserve"> года</w:t>
      </w:r>
    </w:p>
    <w:p w:rsidR="00380477" w:rsidRPr="002E5F59" w:rsidRDefault="00380477" w:rsidP="006E3362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</w:t>
      </w:r>
      <w:r>
        <w:rPr>
          <w:sz w:val="28"/>
          <w:szCs w:val="28"/>
        </w:rPr>
        <w:t>02</w:t>
      </w:r>
      <w:r w:rsidR="002A6D8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 w:rsidR="002A6D8F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при безусловном учёте критериев эффективности и результативности бюджетных расходов, стимулировании развития </w:t>
      </w:r>
      <w:r w:rsidRPr="002E5F59">
        <w:rPr>
          <w:sz w:val="28"/>
          <w:szCs w:val="28"/>
        </w:rPr>
        <w:lastRenderedPageBreak/>
        <w:t>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380477" w:rsidRPr="002E5F59" w:rsidRDefault="00380477" w:rsidP="000C35D9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t xml:space="preserve">Бюджет </w:t>
      </w:r>
      <w:r w:rsidR="002A6D8F">
        <w:rPr>
          <w:sz w:val="28"/>
          <w:szCs w:val="28"/>
        </w:rPr>
        <w:t>Муниципального образования</w:t>
      </w:r>
      <w:r w:rsidR="002A6D8F"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2A6D8F">
        <w:rPr>
          <w:sz w:val="28"/>
          <w:szCs w:val="28"/>
        </w:rPr>
        <w:t>6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="002A6D8F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 w:rsidR="003851B9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380477" w:rsidRPr="002E5F59" w:rsidRDefault="00380477" w:rsidP="000C35D9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6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380477" w:rsidRPr="002E5F59" w:rsidRDefault="00380477" w:rsidP="006E3362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380477" w:rsidRPr="00E600D9" w:rsidRDefault="00380477" w:rsidP="006E3362">
      <w:pPr>
        <w:spacing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00D9">
        <w:rPr>
          <w:sz w:val="28"/>
          <w:szCs w:val="28"/>
        </w:rPr>
        <w:t xml:space="preserve">Исполнение бюджета </w:t>
      </w:r>
      <w:r w:rsidR="00E600D9" w:rsidRPr="00E600D9">
        <w:rPr>
          <w:sz w:val="28"/>
          <w:szCs w:val="28"/>
        </w:rPr>
        <w:t xml:space="preserve">за </w:t>
      </w:r>
      <w:r w:rsidRPr="00E600D9">
        <w:rPr>
          <w:sz w:val="28"/>
          <w:szCs w:val="28"/>
        </w:rPr>
        <w:t>202</w:t>
      </w:r>
      <w:r w:rsidR="003851B9" w:rsidRPr="00E600D9">
        <w:rPr>
          <w:sz w:val="28"/>
          <w:szCs w:val="28"/>
        </w:rPr>
        <w:t>2</w:t>
      </w:r>
      <w:r w:rsidRPr="00E600D9">
        <w:rPr>
          <w:sz w:val="28"/>
          <w:szCs w:val="28"/>
        </w:rPr>
        <w:t xml:space="preserve"> года по расходам характеризуются следующими показателями: расходы произведены на сумму 10</w:t>
      </w:r>
      <w:r w:rsidR="00E600D9" w:rsidRPr="00E600D9">
        <w:rPr>
          <w:sz w:val="28"/>
          <w:szCs w:val="28"/>
        </w:rPr>
        <w:t>335,50</w:t>
      </w:r>
      <w:r w:rsidRPr="00E600D9">
        <w:rPr>
          <w:sz w:val="28"/>
          <w:szCs w:val="28"/>
        </w:rPr>
        <w:t xml:space="preserve"> тыс. руб. или 9</w:t>
      </w:r>
      <w:r w:rsidR="00E600D9" w:rsidRPr="00E600D9">
        <w:rPr>
          <w:sz w:val="28"/>
          <w:szCs w:val="28"/>
        </w:rPr>
        <w:t>9</w:t>
      </w:r>
      <w:r w:rsidR="000C4A65" w:rsidRPr="00E600D9">
        <w:rPr>
          <w:sz w:val="28"/>
          <w:szCs w:val="28"/>
        </w:rPr>
        <w:t>,</w:t>
      </w:r>
      <w:r w:rsidR="00E600D9" w:rsidRPr="00E600D9">
        <w:rPr>
          <w:sz w:val="28"/>
          <w:szCs w:val="28"/>
        </w:rPr>
        <w:t>04</w:t>
      </w:r>
      <w:r w:rsidR="00E51B49" w:rsidRPr="00E600D9">
        <w:rPr>
          <w:sz w:val="28"/>
          <w:szCs w:val="28"/>
        </w:rPr>
        <w:t xml:space="preserve"> % от утвер</w:t>
      </w:r>
      <w:r w:rsidRPr="00E600D9">
        <w:rPr>
          <w:sz w:val="28"/>
          <w:szCs w:val="28"/>
        </w:rPr>
        <w:t>ж</w:t>
      </w:r>
      <w:r w:rsidR="00E51B49" w:rsidRPr="00E600D9">
        <w:rPr>
          <w:sz w:val="28"/>
          <w:szCs w:val="28"/>
        </w:rPr>
        <w:t>д</w:t>
      </w:r>
      <w:r w:rsidRPr="00E600D9">
        <w:rPr>
          <w:sz w:val="28"/>
          <w:szCs w:val="28"/>
        </w:rPr>
        <w:t>ен</w:t>
      </w:r>
      <w:r w:rsidR="000C4A65" w:rsidRPr="00E600D9">
        <w:rPr>
          <w:sz w:val="28"/>
          <w:szCs w:val="28"/>
        </w:rPr>
        <w:t>н</w:t>
      </w:r>
      <w:r w:rsidRPr="00E600D9">
        <w:rPr>
          <w:sz w:val="28"/>
          <w:szCs w:val="28"/>
        </w:rPr>
        <w:t>ых годовых бюджетных назначений.</w:t>
      </w:r>
    </w:p>
    <w:p w:rsidR="00380477" w:rsidRPr="00E600D9" w:rsidRDefault="00380477" w:rsidP="0062188E">
      <w:pPr>
        <w:spacing w:after="120"/>
        <w:jc w:val="both"/>
        <w:rPr>
          <w:sz w:val="28"/>
          <w:szCs w:val="28"/>
        </w:rPr>
      </w:pPr>
      <w:r w:rsidRPr="00E600D9">
        <w:rPr>
          <w:sz w:val="28"/>
          <w:szCs w:val="28"/>
        </w:rPr>
        <w:t>В 1  полугодии 202</w:t>
      </w:r>
      <w:r w:rsidR="003851B9" w:rsidRPr="00E600D9">
        <w:rPr>
          <w:sz w:val="28"/>
          <w:szCs w:val="28"/>
        </w:rPr>
        <w:t>3</w:t>
      </w:r>
      <w:r w:rsidRPr="00E600D9">
        <w:rPr>
          <w:sz w:val="28"/>
          <w:szCs w:val="28"/>
        </w:rPr>
        <w:t xml:space="preserve"> года расходы бюджета исполнены  в сумме 4</w:t>
      </w:r>
      <w:r w:rsidR="00E600D9" w:rsidRPr="00E600D9">
        <w:rPr>
          <w:sz w:val="28"/>
          <w:szCs w:val="28"/>
        </w:rPr>
        <w:t>228,76</w:t>
      </w:r>
      <w:r w:rsidRPr="00E600D9">
        <w:rPr>
          <w:sz w:val="28"/>
          <w:szCs w:val="28"/>
        </w:rPr>
        <w:t xml:space="preserve"> тыс. руб. что составляет </w:t>
      </w:r>
      <w:r w:rsidR="00E600D9" w:rsidRPr="00E600D9">
        <w:rPr>
          <w:sz w:val="28"/>
          <w:szCs w:val="28"/>
        </w:rPr>
        <w:t>34,14</w:t>
      </w:r>
      <w:r w:rsidRPr="00E600D9">
        <w:rPr>
          <w:sz w:val="28"/>
          <w:szCs w:val="28"/>
        </w:rPr>
        <w:t xml:space="preserve"> % от плановых назначений. </w:t>
      </w:r>
    </w:p>
    <w:p w:rsidR="00380477" w:rsidRDefault="00380477" w:rsidP="006E3362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380477" w:rsidRPr="00000F87" w:rsidRDefault="00380477" w:rsidP="000C35D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</w:t>
      </w:r>
      <w:r w:rsidR="003851B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3851B9">
        <w:rPr>
          <w:b/>
          <w:color w:val="000000"/>
          <w:sz w:val="28"/>
          <w:szCs w:val="28"/>
        </w:rPr>
        <w:t>5</w:t>
      </w:r>
      <w:r w:rsidRPr="00000F87">
        <w:rPr>
          <w:b/>
          <w:color w:val="000000"/>
          <w:sz w:val="28"/>
          <w:szCs w:val="28"/>
        </w:rPr>
        <w:t xml:space="preserve"> </w:t>
      </w:r>
      <w:r w:rsidRPr="006D6178">
        <w:rPr>
          <w:b/>
          <w:sz w:val="28"/>
          <w:szCs w:val="28"/>
        </w:rPr>
        <w:t xml:space="preserve">и </w:t>
      </w:r>
      <w:r>
        <w:rPr>
          <w:b/>
          <w:color w:val="000000"/>
          <w:sz w:val="28"/>
          <w:szCs w:val="28"/>
        </w:rPr>
        <w:t xml:space="preserve"> 202</w:t>
      </w:r>
      <w:r w:rsidR="003851B9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lastRenderedPageBreak/>
        <w:t>-совершенствование процедур предварительного и последующего 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380477" w:rsidRPr="002E5F59" w:rsidRDefault="00380477" w:rsidP="006E3362">
      <w:pPr>
        <w:rPr>
          <w:bCs/>
          <w:color w:val="1D1D1D"/>
          <w:sz w:val="28"/>
          <w:szCs w:val="28"/>
        </w:rPr>
      </w:pPr>
    </w:p>
    <w:p w:rsidR="00380477" w:rsidRDefault="00380477" w:rsidP="000C35D9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4. Основные направления бюджетной политики </w:t>
      </w:r>
      <w:r w:rsidRPr="00000F87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202</w:t>
      </w:r>
      <w:r w:rsidR="003851B9">
        <w:rPr>
          <w:b/>
          <w:color w:val="000000"/>
          <w:sz w:val="28"/>
          <w:szCs w:val="28"/>
        </w:rPr>
        <w:t>4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>202</w:t>
      </w:r>
      <w:r w:rsidR="003851B9">
        <w:rPr>
          <w:b/>
          <w:sz w:val="28"/>
          <w:szCs w:val="28"/>
        </w:rPr>
        <w:t>5</w:t>
      </w:r>
      <w:r w:rsidRPr="006D6178">
        <w:rPr>
          <w:b/>
          <w:sz w:val="28"/>
          <w:szCs w:val="28"/>
        </w:rPr>
        <w:t xml:space="preserve"> и </w:t>
      </w:r>
      <w:r>
        <w:rPr>
          <w:b/>
          <w:color w:val="000000"/>
          <w:sz w:val="28"/>
          <w:szCs w:val="28"/>
        </w:rPr>
        <w:t xml:space="preserve"> 202</w:t>
      </w:r>
      <w:r w:rsidR="003851B9">
        <w:rPr>
          <w:b/>
          <w:color w:val="000000"/>
          <w:sz w:val="28"/>
          <w:szCs w:val="28"/>
        </w:rPr>
        <w:t>6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380477" w:rsidRPr="002E5F59" w:rsidRDefault="00380477" w:rsidP="006E3362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="003851B9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380477" w:rsidRPr="002E5F59" w:rsidRDefault="00380477" w:rsidP="006E3362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="003851B9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Pr="00EC1E9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3851B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851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380477" w:rsidRPr="002E5F59" w:rsidRDefault="00380477" w:rsidP="000C35D9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>на 202</w:t>
      </w:r>
      <w:r w:rsidR="003851B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851B9">
        <w:rPr>
          <w:sz w:val="28"/>
          <w:szCs w:val="28"/>
        </w:rPr>
        <w:t>5</w:t>
      </w:r>
      <w:r>
        <w:rPr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202</w:t>
      </w:r>
      <w:r w:rsidR="003851B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 </w:t>
      </w:r>
      <w:r w:rsidRPr="002E5F59">
        <w:rPr>
          <w:bCs/>
          <w:color w:val="1D1D1D"/>
          <w:sz w:val="28"/>
          <w:szCs w:val="28"/>
        </w:rPr>
        <w:t xml:space="preserve">следует детально оценить содержание муниципальных программ поселения, </w:t>
      </w:r>
      <w:r w:rsidRPr="002E5F59">
        <w:rPr>
          <w:bCs/>
          <w:color w:val="1D1D1D"/>
          <w:sz w:val="28"/>
          <w:szCs w:val="28"/>
        </w:rPr>
        <w:lastRenderedPageBreak/>
        <w:t>соразмерив объем их финансового обеспечения с реальными возможностями бюджета поселения;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контроля;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380477" w:rsidRPr="002E5F59" w:rsidRDefault="00380477" w:rsidP="006E3362">
      <w:pPr>
        <w:ind w:firstLine="851"/>
        <w:jc w:val="both"/>
        <w:rPr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p w:rsidR="00380477" w:rsidRPr="002E5F59" w:rsidRDefault="00380477" w:rsidP="006E3362">
      <w:pPr>
        <w:jc w:val="center"/>
        <w:rPr>
          <w:b/>
          <w:bCs/>
          <w:color w:val="1D1D1D"/>
          <w:sz w:val="28"/>
          <w:szCs w:val="28"/>
        </w:rPr>
      </w:pPr>
    </w:p>
    <w:bookmarkEnd w:id="0"/>
    <w:p w:rsidR="00380477" w:rsidRDefault="00380477" w:rsidP="008C5EA8">
      <w:pPr>
        <w:shd w:val="clear" w:color="auto" w:fill="FFFFFF"/>
        <w:rPr>
          <w:bCs/>
          <w:sz w:val="28"/>
          <w:szCs w:val="28"/>
        </w:rPr>
      </w:pPr>
    </w:p>
    <w:sectPr w:rsidR="00380477" w:rsidSect="00DD0E5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06B" w:rsidRDefault="00E6006B" w:rsidP="001351C9">
      <w:r>
        <w:separator/>
      </w:r>
    </w:p>
  </w:endnote>
  <w:endnote w:type="continuationSeparator" w:id="1">
    <w:p w:rsidR="00E6006B" w:rsidRDefault="00E6006B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b"/>
      <w:framePr w:wrap="auto" w:vAnchor="text" w:hAnchor="margin" w:xAlign="right" w:y="1"/>
      <w:rPr>
        <w:rStyle w:val="ad"/>
      </w:rPr>
    </w:pPr>
  </w:p>
  <w:p w:rsidR="00380477" w:rsidRDefault="0038047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06B" w:rsidRDefault="00E6006B" w:rsidP="001351C9">
      <w:r>
        <w:separator/>
      </w:r>
    </w:p>
  </w:footnote>
  <w:footnote w:type="continuationSeparator" w:id="1">
    <w:p w:rsidR="00E6006B" w:rsidRDefault="00E6006B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77" w:rsidRDefault="00380477">
    <w:pPr>
      <w:pStyle w:val="a6"/>
      <w:framePr w:wrap="auto" w:vAnchor="text" w:hAnchor="margin" w:xAlign="right" w:y="1"/>
      <w:rPr>
        <w:rStyle w:val="ad"/>
      </w:rPr>
    </w:pPr>
  </w:p>
  <w:p w:rsidR="00380477" w:rsidRDefault="0038047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0F87"/>
    <w:rsid w:val="000026B4"/>
    <w:rsid w:val="00006BB5"/>
    <w:rsid w:val="00015C5C"/>
    <w:rsid w:val="00020448"/>
    <w:rsid w:val="00034EF8"/>
    <w:rsid w:val="00044404"/>
    <w:rsid w:val="00070456"/>
    <w:rsid w:val="00072E6E"/>
    <w:rsid w:val="000B2191"/>
    <w:rsid w:val="000C35D9"/>
    <w:rsid w:val="000C4A65"/>
    <w:rsid w:val="000F571E"/>
    <w:rsid w:val="00120459"/>
    <w:rsid w:val="00125961"/>
    <w:rsid w:val="001351C9"/>
    <w:rsid w:val="00161A8F"/>
    <w:rsid w:val="00166508"/>
    <w:rsid w:val="00195F7B"/>
    <w:rsid w:val="001A6819"/>
    <w:rsid w:val="001C4599"/>
    <w:rsid w:val="001D1BE7"/>
    <w:rsid w:val="001E1012"/>
    <w:rsid w:val="00201A19"/>
    <w:rsid w:val="0020255D"/>
    <w:rsid w:val="0022708D"/>
    <w:rsid w:val="002763B5"/>
    <w:rsid w:val="00296A80"/>
    <w:rsid w:val="002A6D8F"/>
    <w:rsid w:val="002B0AFB"/>
    <w:rsid w:val="002B1FA7"/>
    <w:rsid w:val="002B6D61"/>
    <w:rsid w:val="002D5632"/>
    <w:rsid w:val="002E54EA"/>
    <w:rsid w:val="002E5F59"/>
    <w:rsid w:val="002F1463"/>
    <w:rsid w:val="002F2696"/>
    <w:rsid w:val="002F2A54"/>
    <w:rsid w:val="002F552E"/>
    <w:rsid w:val="0035417F"/>
    <w:rsid w:val="00380477"/>
    <w:rsid w:val="003851B9"/>
    <w:rsid w:val="003A0CD8"/>
    <w:rsid w:val="003A5EC9"/>
    <w:rsid w:val="003C27FF"/>
    <w:rsid w:val="003E354B"/>
    <w:rsid w:val="00405FA8"/>
    <w:rsid w:val="00411643"/>
    <w:rsid w:val="0042151D"/>
    <w:rsid w:val="00451778"/>
    <w:rsid w:val="004636A2"/>
    <w:rsid w:val="004929C4"/>
    <w:rsid w:val="004F1266"/>
    <w:rsid w:val="005008F1"/>
    <w:rsid w:val="005139BC"/>
    <w:rsid w:val="00534AB9"/>
    <w:rsid w:val="00535194"/>
    <w:rsid w:val="00535542"/>
    <w:rsid w:val="00546394"/>
    <w:rsid w:val="00553FEB"/>
    <w:rsid w:val="00557F4F"/>
    <w:rsid w:val="005844B9"/>
    <w:rsid w:val="00587806"/>
    <w:rsid w:val="005A4FDF"/>
    <w:rsid w:val="005D19BA"/>
    <w:rsid w:val="005E1CD2"/>
    <w:rsid w:val="005E3BD6"/>
    <w:rsid w:val="005E6ED3"/>
    <w:rsid w:val="005E7400"/>
    <w:rsid w:val="0062188E"/>
    <w:rsid w:val="00630024"/>
    <w:rsid w:val="0063085C"/>
    <w:rsid w:val="006607F3"/>
    <w:rsid w:val="00677C48"/>
    <w:rsid w:val="00681580"/>
    <w:rsid w:val="00683DB5"/>
    <w:rsid w:val="006939D2"/>
    <w:rsid w:val="006B6141"/>
    <w:rsid w:val="006D6178"/>
    <w:rsid w:val="006E3362"/>
    <w:rsid w:val="006E4DE8"/>
    <w:rsid w:val="006E59B9"/>
    <w:rsid w:val="007020C2"/>
    <w:rsid w:val="00731B07"/>
    <w:rsid w:val="00737C28"/>
    <w:rsid w:val="007630CD"/>
    <w:rsid w:val="0076711F"/>
    <w:rsid w:val="00774A36"/>
    <w:rsid w:val="00776E62"/>
    <w:rsid w:val="00784099"/>
    <w:rsid w:val="007850AE"/>
    <w:rsid w:val="00792BB7"/>
    <w:rsid w:val="00792BFA"/>
    <w:rsid w:val="007A5FDD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84CAC"/>
    <w:rsid w:val="00891458"/>
    <w:rsid w:val="00894A50"/>
    <w:rsid w:val="00895591"/>
    <w:rsid w:val="008A0B8F"/>
    <w:rsid w:val="008A578D"/>
    <w:rsid w:val="008B050A"/>
    <w:rsid w:val="008C0006"/>
    <w:rsid w:val="008C001C"/>
    <w:rsid w:val="008C5EA8"/>
    <w:rsid w:val="008D1C38"/>
    <w:rsid w:val="008D60E4"/>
    <w:rsid w:val="008E2E23"/>
    <w:rsid w:val="009014FA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B02C8"/>
    <w:rsid w:val="009B32E8"/>
    <w:rsid w:val="009D3E92"/>
    <w:rsid w:val="009D7951"/>
    <w:rsid w:val="00A042E2"/>
    <w:rsid w:val="00A54AAD"/>
    <w:rsid w:val="00A5572D"/>
    <w:rsid w:val="00A62E8A"/>
    <w:rsid w:val="00A82B96"/>
    <w:rsid w:val="00A96B76"/>
    <w:rsid w:val="00AB7334"/>
    <w:rsid w:val="00AC05D8"/>
    <w:rsid w:val="00AC6294"/>
    <w:rsid w:val="00AD7F4D"/>
    <w:rsid w:val="00AE10C0"/>
    <w:rsid w:val="00B35EEE"/>
    <w:rsid w:val="00B60C43"/>
    <w:rsid w:val="00B65538"/>
    <w:rsid w:val="00B83700"/>
    <w:rsid w:val="00BA3DAB"/>
    <w:rsid w:val="00BA5129"/>
    <w:rsid w:val="00BC45CD"/>
    <w:rsid w:val="00BC7BA0"/>
    <w:rsid w:val="00BD4C3E"/>
    <w:rsid w:val="00BF371A"/>
    <w:rsid w:val="00BF6EAB"/>
    <w:rsid w:val="00BF74A8"/>
    <w:rsid w:val="00C15078"/>
    <w:rsid w:val="00C65E34"/>
    <w:rsid w:val="00C700DD"/>
    <w:rsid w:val="00C77B9F"/>
    <w:rsid w:val="00C83664"/>
    <w:rsid w:val="00CB2F7F"/>
    <w:rsid w:val="00CB6274"/>
    <w:rsid w:val="00CE276A"/>
    <w:rsid w:val="00CF0241"/>
    <w:rsid w:val="00CF2ECA"/>
    <w:rsid w:val="00D051D2"/>
    <w:rsid w:val="00D127BB"/>
    <w:rsid w:val="00D12B98"/>
    <w:rsid w:val="00D204E4"/>
    <w:rsid w:val="00D33A7A"/>
    <w:rsid w:val="00D36BFB"/>
    <w:rsid w:val="00D42B08"/>
    <w:rsid w:val="00D5579B"/>
    <w:rsid w:val="00D80ED9"/>
    <w:rsid w:val="00DB5FAC"/>
    <w:rsid w:val="00DD0E5B"/>
    <w:rsid w:val="00DD2811"/>
    <w:rsid w:val="00DD43A0"/>
    <w:rsid w:val="00DD6F20"/>
    <w:rsid w:val="00E02E4B"/>
    <w:rsid w:val="00E0361A"/>
    <w:rsid w:val="00E3009B"/>
    <w:rsid w:val="00E35420"/>
    <w:rsid w:val="00E51B49"/>
    <w:rsid w:val="00E5479D"/>
    <w:rsid w:val="00E6006B"/>
    <w:rsid w:val="00E600D9"/>
    <w:rsid w:val="00E6552D"/>
    <w:rsid w:val="00E822FB"/>
    <w:rsid w:val="00E903AA"/>
    <w:rsid w:val="00E92DB8"/>
    <w:rsid w:val="00E97768"/>
    <w:rsid w:val="00EA068C"/>
    <w:rsid w:val="00EA5F80"/>
    <w:rsid w:val="00EC1243"/>
    <w:rsid w:val="00EC1E94"/>
    <w:rsid w:val="00EF379E"/>
    <w:rsid w:val="00F11C8E"/>
    <w:rsid w:val="00F12C9C"/>
    <w:rsid w:val="00F47AC2"/>
    <w:rsid w:val="00F92606"/>
    <w:rsid w:val="00FB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EC1E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C1E9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rsid w:val="00EC1E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C1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2021-11-15T06:58:00Z</cp:lastPrinted>
  <dcterms:created xsi:type="dcterms:W3CDTF">2024-01-10T06:11:00Z</dcterms:created>
  <dcterms:modified xsi:type="dcterms:W3CDTF">2024-01-10T06:11:00Z</dcterms:modified>
</cp:coreProperties>
</file>